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46FD" w14:textId="77777777" w:rsidR="00123CD5" w:rsidRDefault="00123CD5" w:rsidP="00123CD5">
      <w:pPr>
        <w:jc w:val="center"/>
        <w:rPr>
          <w:b/>
          <w:bCs/>
          <w:sz w:val="28"/>
          <w:szCs w:val="24"/>
        </w:rPr>
      </w:pPr>
      <w:bookmarkStart w:id="0" w:name="_Hlk83815479"/>
      <w:r>
        <w:rPr>
          <w:b/>
          <w:bCs/>
          <w:sz w:val="28"/>
          <w:szCs w:val="24"/>
        </w:rPr>
        <w:t xml:space="preserve">TSLA x </w:t>
      </w:r>
      <w:r w:rsidRPr="009D71F3">
        <w:rPr>
          <w:rFonts w:hint="eastAsia"/>
          <w:b/>
          <w:bCs/>
          <w:sz w:val="28"/>
          <w:szCs w:val="24"/>
        </w:rPr>
        <w:t>A</w:t>
      </w:r>
      <w:r w:rsidRPr="009D71F3">
        <w:rPr>
          <w:b/>
          <w:bCs/>
          <w:sz w:val="28"/>
          <w:szCs w:val="24"/>
        </w:rPr>
        <w:t>CC-TTT</w:t>
      </w:r>
      <w:r>
        <w:rPr>
          <w:b/>
          <w:bCs/>
          <w:sz w:val="28"/>
          <w:szCs w:val="24"/>
        </w:rPr>
        <w:t>: Evolving LDL-C Management</w:t>
      </w:r>
    </w:p>
    <w:bookmarkEnd w:id="0"/>
    <w:p w14:paraId="1B4F42F1" w14:textId="77777777" w:rsidR="00123CD5" w:rsidRPr="00123CD5" w:rsidRDefault="00123CD5" w:rsidP="00296F74"/>
    <w:p w14:paraId="39CF7F7E" w14:textId="683383AC" w:rsidR="00296F74" w:rsidRPr="00850A17" w:rsidRDefault="00296F74" w:rsidP="00296F74">
      <w:r w:rsidRPr="00850A17">
        <w:rPr>
          <w:rFonts w:hint="eastAsia"/>
        </w:rPr>
        <w:t>主辦單位：中華民國血脂及動脈硬化學會</w:t>
      </w:r>
    </w:p>
    <w:p w14:paraId="685AD492" w14:textId="77777777" w:rsidR="00296F74" w:rsidRPr="00850A17" w:rsidRDefault="00296F74" w:rsidP="00296F74">
      <w:r w:rsidRPr="00850A17">
        <w:rPr>
          <w:rFonts w:hint="eastAsia"/>
        </w:rPr>
        <w:t>協辦單位：台灣安進</w:t>
      </w:r>
      <w:r>
        <w:rPr>
          <w:rFonts w:hint="eastAsia"/>
        </w:rPr>
        <w:t>藥</w:t>
      </w:r>
      <w:r w:rsidRPr="00850A17">
        <w:rPr>
          <w:rFonts w:hint="eastAsia"/>
        </w:rPr>
        <w:t>品有限公司</w:t>
      </w:r>
      <w:r w:rsidRPr="00850A17">
        <w:rPr>
          <w:rFonts w:hint="eastAsia"/>
        </w:rPr>
        <w:t xml:space="preserve"> </w:t>
      </w:r>
    </w:p>
    <w:p w14:paraId="7F99D008" w14:textId="55FEEE86" w:rsidR="00296F74" w:rsidRPr="00850A17" w:rsidRDefault="00296F74" w:rsidP="00296F74">
      <w:r w:rsidRPr="00850A17">
        <w:rPr>
          <w:rFonts w:hint="eastAsia"/>
        </w:rPr>
        <w:t>時間：</w:t>
      </w:r>
      <w:r w:rsidRPr="00850A17">
        <w:rPr>
          <w:rFonts w:hint="eastAsia"/>
        </w:rPr>
        <w:t>2</w:t>
      </w:r>
      <w:r w:rsidRPr="00850A17">
        <w:t>021</w:t>
      </w:r>
      <w:r w:rsidRPr="00850A17">
        <w:rPr>
          <w:rFonts w:hint="eastAsia"/>
        </w:rPr>
        <w:t>年</w:t>
      </w:r>
      <w:r>
        <w:t>10</w:t>
      </w:r>
      <w:r w:rsidRPr="00850A17">
        <w:rPr>
          <w:rFonts w:hint="eastAsia"/>
        </w:rPr>
        <w:t>月</w:t>
      </w:r>
      <w:r>
        <w:t>30</w:t>
      </w:r>
      <w:r w:rsidRPr="00850A17">
        <w:rPr>
          <w:rFonts w:hint="eastAsia"/>
        </w:rPr>
        <w:t>日</w:t>
      </w:r>
      <w:r w:rsidRPr="00850A17">
        <w:rPr>
          <w:rFonts w:hint="eastAsia"/>
        </w:rPr>
        <w:t xml:space="preserve"> (</w:t>
      </w:r>
      <w:r w:rsidRPr="00850A17">
        <w:rPr>
          <w:rFonts w:hint="eastAsia"/>
        </w:rPr>
        <w:t>六</w:t>
      </w:r>
      <w:r w:rsidRPr="00850A17">
        <w:rPr>
          <w:rFonts w:hint="eastAsia"/>
        </w:rPr>
        <w:t>)</w:t>
      </w:r>
      <w:r w:rsidRPr="00850A17">
        <w:t xml:space="preserve"> </w:t>
      </w:r>
    </w:p>
    <w:p w14:paraId="4ACED1CB" w14:textId="77777777" w:rsidR="00296F74" w:rsidRPr="003442EE" w:rsidRDefault="00296F74" w:rsidP="00296F74">
      <w:r w:rsidRPr="00850A17">
        <w:rPr>
          <w:rFonts w:hint="eastAsia"/>
        </w:rPr>
        <w:t>地點</w:t>
      </w:r>
      <w:r w:rsidRPr="00850A17">
        <w:rPr>
          <w:rFonts w:hint="eastAsia"/>
        </w:rPr>
        <w:t xml:space="preserve">: </w:t>
      </w:r>
      <w:r>
        <w:rPr>
          <w:rFonts w:hint="eastAsia"/>
        </w:rPr>
        <w:t>暫定台北現場</w:t>
      </w:r>
      <w:r>
        <w:rPr>
          <w:rFonts w:hint="eastAsia"/>
        </w:rPr>
        <w:t xml:space="preserve"> </w:t>
      </w:r>
      <w:r w:rsidRPr="00850A17">
        <w:rPr>
          <w:rFonts w:hint="eastAsia"/>
        </w:rPr>
        <w:t xml:space="preserve">+ </w:t>
      </w:r>
      <w:proofErr w:type="gramStart"/>
      <w:r w:rsidRPr="00850A17">
        <w:rPr>
          <w:rFonts w:hint="eastAsia"/>
        </w:rPr>
        <w:t>線上</w:t>
      </w:r>
      <w:proofErr w:type="gramEnd"/>
      <w:r w:rsidRPr="00850A17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備選方案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純</w:t>
      </w:r>
      <w:r w:rsidRPr="00850A17">
        <w:rPr>
          <w:rFonts w:hint="eastAsia"/>
        </w:rPr>
        <w:t>線上</w:t>
      </w:r>
      <w:proofErr w:type="gramEnd"/>
      <w:r>
        <w:rPr>
          <w:rFonts w:hint="eastAsia"/>
        </w:rPr>
        <w:t>)</w:t>
      </w:r>
    </w:p>
    <w:p w14:paraId="1DB9DAB8" w14:textId="10930709" w:rsidR="00DE15C9" w:rsidRPr="00DE15C9" w:rsidRDefault="00DE15C9" w:rsidP="00DE15C9">
      <w:r w:rsidRPr="00DE15C9">
        <w:rPr>
          <w:rFonts w:hint="eastAsia"/>
        </w:rPr>
        <w:t>本活動與中華民國血脂及動脈硬化學會合辦，心臟學分、內科學分、內分泌學分、藥師學分，家庭</w:t>
      </w:r>
      <w:proofErr w:type="gramStart"/>
      <w:r w:rsidRPr="00DE15C9">
        <w:rPr>
          <w:rFonts w:hint="eastAsia"/>
        </w:rPr>
        <w:t>醫學醫學</w:t>
      </w:r>
      <w:proofErr w:type="gramEnd"/>
      <w:r w:rsidRPr="00DE15C9">
        <w:rPr>
          <w:rFonts w:hint="eastAsia"/>
        </w:rPr>
        <w:t>會，申請中。</w:t>
      </w:r>
    </w:p>
    <w:p w14:paraId="46F82C7D" w14:textId="77777777" w:rsidR="00296F74" w:rsidRPr="00DE15C9" w:rsidRDefault="00296F74"/>
    <w:tbl>
      <w:tblPr>
        <w:tblW w:w="8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100"/>
        <w:gridCol w:w="1520"/>
        <w:gridCol w:w="1760"/>
      </w:tblGrid>
      <w:tr w:rsidR="00317331" w:rsidRPr="0090040B" w14:paraId="4014E57E" w14:textId="77777777" w:rsidTr="007B0F38">
        <w:trPr>
          <w:trHeight w:val="300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E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0C8B17" w14:textId="77777777" w:rsidR="00317331" w:rsidRPr="0090040B" w:rsidRDefault="00317331" w:rsidP="007B0F38">
            <w:pPr>
              <w:rPr>
                <w:sz w:val="22"/>
              </w:rPr>
            </w:pPr>
            <w:r w:rsidRPr="0090040B">
              <w:rPr>
                <w:b/>
                <w:bCs/>
                <w:sz w:val="22"/>
              </w:rPr>
              <w:t>Time</w:t>
            </w:r>
          </w:p>
        </w:tc>
        <w:tc>
          <w:tcPr>
            <w:tcW w:w="410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01E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40A86D" w14:textId="77777777" w:rsidR="00317331" w:rsidRPr="0090040B" w:rsidRDefault="00317331" w:rsidP="007B0F38">
            <w:pPr>
              <w:rPr>
                <w:sz w:val="22"/>
              </w:rPr>
            </w:pPr>
            <w:r w:rsidRPr="0090040B">
              <w:rPr>
                <w:b/>
                <w:bCs/>
                <w:color w:val="FFFFFF"/>
                <w:sz w:val="22"/>
              </w:rPr>
              <w:t>Topic</w:t>
            </w:r>
          </w:p>
        </w:tc>
        <w:tc>
          <w:tcPr>
            <w:tcW w:w="152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01E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8A4AD8" w14:textId="77777777" w:rsidR="00317331" w:rsidRPr="0090040B" w:rsidRDefault="00317331" w:rsidP="007B0F38">
            <w:pPr>
              <w:rPr>
                <w:sz w:val="22"/>
              </w:rPr>
            </w:pPr>
            <w:r w:rsidRPr="0090040B">
              <w:rPr>
                <w:b/>
                <w:bCs/>
                <w:color w:val="FFFFFF"/>
                <w:sz w:val="22"/>
              </w:rPr>
              <w:t>Speaker</w:t>
            </w:r>
          </w:p>
        </w:tc>
        <w:tc>
          <w:tcPr>
            <w:tcW w:w="176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01E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6613DE" w14:textId="77777777" w:rsidR="00317331" w:rsidRPr="0090040B" w:rsidRDefault="00317331" w:rsidP="007B0F38">
            <w:pPr>
              <w:rPr>
                <w:sz w:val="22"/>
              </w:rPr>
            </w:pPr>
            <w:r w:rsidRPr="0090040B">
              <w:rPr>
                <w:b/>
                <w:bCs/>
                <w:color w:val="FFFFFF"/>
                <w:sz w:val="22"/>
              </w:rPr>
              <w:t>Moderator</w:t>
            </w:r>
          </w:p>
        </w:tc>
      </w:tr>
      <w:tr w:rsidR="00317331" w:rsidRPr="0090040B" w14:paraId="649D389C" w14:textId="77777777" w:rsidTr="007B0F3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1E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B4F54D" w14:textId="77777777" w:rsidR="00317331" w:rsidRPr="0090040B" w:rsidRDefault="00317331" w:rsidP="007B0F38">
            <w:pPr>
              <w:rPr>
                <w:sz w:val="22"/>
              </w:rPr>
            </w:pPr>
            <w:r w:rsidRPr="0090040B">
              <w:rPr>
                <w:b/>
                <w:bCs/>
                <w:color w:val="FFFFFF"/>
                <w:sz w:val="22"/>
              </w:rPr>
              <w:t>13:30-14:00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3385B5" w14:textId="77777777" w:rsidR="00317331" w:rsidRPr="0090040B" w:rsidRDefault="00317331" w:rsidP="007B0F38">
            <w:pPr>
              <w:rPr>
                <w:sz w:val="22"/>
              </w:rPr>
            </w:pPr>
            <w:r w:rsidRPr="0090040B">
              <w:rPr>
                <w:color w:val="000000"/>
                <w:sz w:val="22"/>
              </w:rPr>
              <w:t xml:space="preserve">Registration </w:t>
            </w:r>
          </w:p>
        </w:tc>
      </w:tr>
      <w:tr w:rsidR="00C20216" w:rsidRPr="0090040B" w14:paraId="35FA541B" w14:textId="77777777" w:rsidTr="00CB20BD">
        <w:trPr>
          <w:trHeight w:val="601"/>
        </w:trPr>
        <w:tc>
          <w:tcPr>
            <w:tcW w:w="15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1E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9199ED" w14:textId="77777777" w:rsidR="00C20216" w:rsidRPr="0090040B" w:rsidRDefault="00C20216" w:rsidP="007B0F38">
            <w:pPr>
              <w:rPr>
                <w:sz w:val="22"/>
              </w:rPr>
            </w:pPr>
            <w:r w:rsidRPr="0090040B">
              <w:rPr>
                <w:b/>
                <w:bCs/>
                <w:color w:val="FFFFFF"/>
                <w:sz w:val="22"/>
              </w:rPr>
              <w:t>14:00-14:10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CB1076" w14:textId="77777777" w:rsidR="00C20216" w:rsidRPr="0090040B" w:rsidRDefault="00C20216" w:rsidP="007B0F38">
            <w:pPr>
              <w:rPr>
                <w:sz w:val="22"/>
              </w:rPr>
            </w:pPr>
            <w:r w:rsidRPr="0090040B">
              <w:rPr>
                <w:color w:val="000000"/>
                <w:sz w:val="22"/>
              </w:rPr>
              <w:t xml:space="preserve">Opening Remarks 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357CFF" w14:textId="77777777" w:rsidR="00C20216" w:rsidRPr="0090040B" w:rsidRDefault="00C20216" w:rsidP="007B0F38">
            <w:pPr>
              <w:rPr>
                <w:rFonts w:ascii="新細明體" w:hAnsi="新細明體"/>
                <w:color w:val="000000"/>
                <w:sz w:val="22"/>
              </w:rPr>
            </w:pPr>
            <w:r w:rsidRPr="0090040B">
              <w:rPr>
                <w:rFonts w:ascii="新細明體" w:hAnsi="新細明體"/>
                <w:color w:val="000000"/>
                <w:sz w:val="22"/>
              </w:rPr>
              <w:t>黃柏勳</w:t>
            </w:r>
            <w:r w:rsidRPr="0090040B">
              <w:rPr>
                <w:color w:val="000000"/>
                <w:sz w:val="22"/>
              </w:rPr>
              <w:t xml:space="preserve"> </w:t>
            </w:r>
            <w:r w:rsidRPr="0090040B">
              <w:rPr>
                <w:rFonts w:ascii="新細明體" w:hAnsi="新細明體"/>
                <w:color w:val="000000"/>
                <w:sz w:val="22"/>
              </w:rPr>
              <w:t>醫師</w:t>
            </w:r>
          </w:p>
          <w:p w14:paraId="1528D150" w14:textId="77777777" w:rsidR="00C20216" w:rsidRPr="0090040B" w:rsidRDefault="00C20216" w:rsidP="007B0F38">
            <w:pPr>
              <w:rPr>
                <w:sz w:val="22"/>
              </w:rPr>
            </w:pPr>
            <w:r w:rsidRPr="0090040B">
              <w:rPr>
                <w:rFonts w:ascii="新細明體" w:hAnsi="新細明體"/>
                <w:color w:val="000000"/>
                <w:sz w:val="22"/>
              </w:rPr>
              <w:t>台北榮總</w:t>
            </w:r>
          </w:p>
          <w:p w14:paraId="33433FFB" w14:textId="5C733330" w:rsidR="00C20216" w:rsidRPr="0090040B" w:rsidRDefault="00C20216" w:rsidP="007B0F38">
            <w:pPr>
              <w:rPr>
                <w:sz w:val="22"/>
              </w:rPr>
            </w:pPr>
          </w:p>
        </w:tc>
      </w:tr>
      <w:tr w:rsidR="00C20216" w:rsidRPr="0090040B" w14:paraId="0EC30EF4" w14:textId="77777777" w:rsidTr="00CB20BD">
        <w:trPr>
          <w:trHeight w:val="601"/>
        </w:trPr>
        <w:tc>
          <w:tcPr>
            <w:tcW w:w="15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1E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795411" w14:textId="1586FCE1" w:rsidR="00C20216" w:rsidRPr="0090040B" w:rsidRDefault="00C20216" w:rsidP="007B0F38">
            <w:pPr>
              <w:rPr>
                <w:sz w:val="22"/>
              </w:rPr>
            </w:pPr>
            <w:r w:rsidRPr="0090040B">
              <w:rPr>
                <w:b/>
                <w:bCs/>
                <w:color w:val="FFFFFF"/>
                <w:sz w:val="22"/>
              </w:rPr>
              <w:t>14:10-1</w:t>
            </w:r>
            <w:r>
              <w:rPr>
                <w:b/>
                <w:bCs/>
                <w:color w:val="FFFFFF"/>
                <w:sz w:val="22"/>
              </w:rPr>
              <w:t>5</w:t>
            </w:r>
            <w:r w:rsidRPr="0090040B">
              <w:rPr>
                <w:b/>
                <w:bCs/>
                <w:color w:val="FFFFFF"/>
                <w:sz w:val="22"/>
              </w:rPr>
              <w:t>:</w:t>
            </w:r>
            <w:r>
              <w:rPr>
                <w:b/>
                <w:bCs/>
                <w:color w:val="FFFFFF"/>
                <w:sz w:val="22"/>
              </w:rPr>
              <w:t>0</w:t>
            </w:r>
            <w:r w:rsidRPr="0090040B">
              <w:rPr>
                <w:b/>
                <w:bCs/>
                <w:color w:val="FFFFFF"/>
                <w:sz w:val="22"/>
              </w:rPr>
              <w:t>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9AFC39" w14:textId="000300BD" w:rsidR="00C20216" w:rsidRPr="0090040B" w:rsidRDefault="00C20216" w:rsidP="007B0F38">
            <w:pPr>
              <w:rPr>
                <w:sz w:val="22"/>
              </w:rPr>
            </w:pPr>
            <w:r w:rsidRPr="0090040B">
              <w:rPr>
                <w:color w:val="000000"/>
                <w:sz w:val="22"/>
              </w:rPr>
              <w:t>Early LDL-C management in post-ACS: insights from ESC 2021</w:t>
            </w:r>
            <w:r>
              <w:rPr>
                <w:color w:val="000000"/>
                <w:sz w:val="22"/>
              </w:rPr>
              <w:t xml:space="preserve"> and case discussion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CAEDB2" w14:textId="77777777" w:rsidR="00C20216" w:rsidRPr="0090040B" w:rsidRDefault="00C20216" w:rsidP="007B0F38">
            <w:pPr>
              <w:rPr>
                <w:sz w:val="22"/>
              </w:rPr>
            </w:pPr>
            <w:r w:rsidRPr="0090040B">
              <w:rPr>
                <w:rFonts w:ascii="新細明體" w:hAnsi="新細明體"/>
                <w:color w:val="000000"/>
                <w:sz w:val="22"/>
              </w:rPr>
              <w:t>李俊偉醫師</w:t>
            </w:r>
            <w:r w:rsidRPr="0090040B">
              <w:rPr>
                <w:color w:val="000000"/>
                <w:sz w:val="22"/>
              </w:rPr>
              <w:t xml:space="preserve"> </w:t>
            </w:r>
            <w:r w:rsidRPr="0090040B">
              <w:rPr>
                <w:rFonts w:ascii="新細明體" w:hAnsi="新細明體"/>
                <w:color w:val="000000"/>
                <w:sz w:val="22"/>
              </w:rPr>
              <w:t>台北馬偕</w:t>
            </w:r>
          </w:p>
        </w:tc>
        <w:tc>
          <w:tcPr>
            <w:tcW w:w="1760" w:type="dxa"/>
            <w:vMerge/>
            <w:tcBorders>
              <w:left w:val="nil"/>
              <w:right w:val="single" w:sz="8" w:space="0" w:color="FFFFFF"/>
            </w:tcBorders>
            <w:shd w:val="clear" w:color="auto" w:fill="CBCC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0DC172" w14:textId="5FA6982D" w:rsidR="00C20216" w:rsidRPr="0090040B" w:rsidRDefault="00C20216" w:rsidP="007B0F38">
            <w:pPr>
              <w:rPr>
                <w:sz w:val="22"/>
              </w:rPr>
            </w:pPr>
          </w:p>
        </w:tc>
      </w:tr>
      <w:tr w:rsidR="00C20216" w:rsidRPr="0090040B" w14:paraId="1B2535A5" w14:textId="77777777" w:rsidTr="00CB20BD">
        <w:trPr>
          <w:trHeight w:val="601"/>
        </w:trPr>
        <w:tc>
          <w:tcPr>
            <w:tcW w:w="15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1E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C3DBB4" w14:textId="676AF5A7" w:rsidR="00C20216" w:rsidRPr="0090040B" w:rsidRDefault="00C20216" w:rsidP="007B0F38">
            <w:pPr>
              <w:rPr>
                <w:sz w:val="22"/>
              </w:rPr>
            </w:pPr>
            <w:r w:rsidRPr="0090040B">
              <w:rPr>
                <w:b/>
                <w:bCs/>
                <w:color w:val="FFFFFF"/>
                <w:sz w:val="22"/>
              </w:rPr>
              <w:t>1</w:t>
            </w:r>
            <w:r>
              <w:rPr>
                <w:b/>
                <w:bCs/>
                <w:color w:val="FFFFFF"/>
                <w:sz w:val="22"/>
              </w:rPr>
              <w:t>5</w:t>
            </w:r>
            <w:r w:rsidRPr="0090040B">
              <w:rPr>
                <w:b/>
                <w:bCs/>
                <w:color w:val="FFFFFF"/>
                <w:sz w:val="22"/>
              </w:rPr>
              <w:t>:</w:t>
            </w:r>
            <w:r>
              <w:rPr>
                <w:b/>
                <w:bCs/>
                <w:color w:val="FFFFFF"/>
                <w:sz w:val="22"/>
              </w:rPr>
              <w:t>0</w:t>
            </w:r>
            <w:r w:rsidRPr="0090040B">
              <w:rPr>
                <w:b/>
                <w:bCs/>
                <w:color w:val="FFFFFF"/>
                <w:sz w:val="22"/>
              </w:rPr>
              <w:t>0-15:</w:t>
            </w:r>
            <w:r>
              <w:rPr>
                <w:b/>
                <w:bCs/>
                <w:color w:val="FFFFFF"/>
                <w:sz w:val="22"/>
              </w:rPr>
              <w:t>5</w:t>
            </w:r>
            <w:r w:rsidRPr="0090040B">
              <w:rPr>
                <w:b/>
                <w:bCs/>
                <w:color w:val="FFFFFF"/>
                <w:sz w:val="22"/>
              </w:rPr>
              <w:t>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D0605C" w14:textId="7E9EB512" w:rsidR="00C20216" w:rsidRPr="0090040B" w:rsidRDefault="00C20216" w:rsidP="007B0F38">
            <w:pPr>
              <w:rPr>
                <w:sz w:val="22"/>
              </w:rPr>
            </w:pPr>
            <w:r w:rsidRPr="0090040B">
              <w:rPr>
                <w:color w:val="000000"/>
                <w:sz w:val="22"/>
              </w:rPr>
              <w:t>Who demonstrates better outcomes in non-statin lipid management?</w:t>
            </w:r>
            <w:r>
              <w:rPr>
                <w:color w:val="000000"/>
                <w:sz w:val="22"/>
              </w:rPr>
              <w:t xml:space="preserve"> and case discussion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0D6656" w14:textId="77777777" w:rsidR="00C20216" w:rsidRPr="0090040B" w:rsidRDefault="00C20216" w:rsidP="007B0F38">
            <w:pPr>
              <w:rPr>
                <w:sz w:val="22"/>
              </w:rPr>
            </w:pPr>
            <w:r w:rsidRPr="0090040B">
              <w:rPr>
                <w:rFonts w:ascii="新細明體" w:hAnsi="新細明體"/>
                <w:color w:val="000000"/>
                <w:sz w:val="22"/>
              </w:rPr>
              <w:t>邱淳志醫師</w:t>
            </w:r>
          </w:p>
          <w:p w14:paraId="201BE4EF" w14:textId="77777777" w:rsidR="00C20216" w:rsidRPr="0090040B" w:rsidRDefault="00C20216" w:rsidP="007B0F38">
            <w:pPr>
              <w:rPr>
                <w:sz w:val="22"/>
              </w:rPr>
            </w:pPr>
            <w:r w:rsidRPr="0090040B">
              <w:rPr>
                <w:rFonts w:ascii="新細明體" w:hAnsi="新細明體"/>
                <w:color w:val="000000"/>
                <w:sz w:val="22"/>
              </w:rPr>
              <w:t>雙和醫院</w:t>
            </w:r>
          </w:p>
        </w:tc>
        <w:tc>
          <w:tcPr>
            <w:tcW w:w="1760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2A69AE" w14:textId="4725D2D5" w:rsidR="00C20216" w:rsidRPr="0090040B" w:rsidRDefault="00C20216" w:rsidP="007B0F38">
            <w:pPr>
              <w:rPr>
                <w:sz w:val="22"/>
              </w:rPr>
            </w:pPr>
          </w:p>
        </w:tc>
      </w:tr>
      <w:tr w:rsidR="00317331" w:rsidRPr="0090040B" w14:paraId="42AF653B" w14:textId="77777777" w:rsidTr="007B0F3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1E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835BC0" w14:textId="1BB62A76" w:rsidR="00317331" w:rsidRPr="0090040B" w:rsidRDefault="00317331" w:rsidP="007B0F38">
            <w:pPr>
              <w:rPr>
                <w:sz w:val="22"/>
              </w:rPr>
            </w:pPr>
            <w:r w:rsidRPr="0090040B">
              <w:rPr>
                <w:b/>
                <w:bCs/>
                <w:color w:val="FFFFFF"/>
                <w:sz w:val="22"/>
              </w:rPr>
              <w:t>15:5</w:t>
            </w:r>
            <w:r w:rsidR="00AE5FEC">
              <w:rPr>
                <w:b/>
                <w:bCs/>
                <w:color w:val="FFFFFF"/>
                <w:sz w:val="22"/>
              </w:rPr>
              <w:t>0</w:t>
            </w:r>
            <w:r w:rsidRPr="0090040B">
              <w:rPr>
                <w:b/>
                <w:bCs/>
                <w:color w:val="FFFFFF"/>
                <w:sz w:val="22"/>
              </w:rPr>
              <w:t>-1</w:t>
            </w:r>
            <w:r w:rsidR="00AE5FEC">
              <w:rPr>
                <w:b/>
                <w:bCs/>
                <w:color w:val="FFFFFF"/>
                <w:sz w:val="22"/>
              </w:rPr>
              <w:t>6</w:t>
            </w:r>
            <w:r w:rsidRPr="0090040B">
              <w:rPr>
                <w:b/>
                <w:bCs/>
                <w:color w:val="FFFFFF"/>
                <w:sz w:val="22"/>
              </w:rPr>
              <w:t>:</w:t>
            </w:r>
            <w:r w:rsidR="00AE5FEC">
              <w:rPr>
                <w:b/>
                <w:bCs/>
                <w:color w:val="FFFFFF"/>
                <w:sz w:val="22"/>
              </w:rPr>
              <w:t>00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3A4A1" w14:textId="77777777" w:rsidR="00317331" w:rsidRPr="0090040B" w:rsidRDefault="00317331" w:rsidP="007B0F38">
            <w:pPr>
              <w:rPr>
                <w:sz w:val="22"/>
              </w:rPr>
            </w:pPr>
            <w:r w:rsidRPr="0090040B">
              <w:rPr>
                <w:color w:val="000000"/>
                <w:sz w:val="22"/>
              </w:rPr>
              <w:t>Break</w:t>
            </w:r>
          </w:p>
        </w:tc>
      </w:tr>
      <w:tr w:rsidR="00317331" w:rsidRPr="0090040B" w14:paraId="65F9A485" w14:textId="77777777" w:rsidTr="007B0F38">
        <w:trPr>
          <w:trHeight w:val="901"/>
        </w:trPr>
        <w:tc>
          <w:tcPr>
            <w:tcW w:w="15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1E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CB551F" w14:textId="09E4647C" w:rsidR="00317331" w:rsidRPr="0090040B" w:rsidRDefault="00317331" w:rsidP="007B0F38">
            <w:pPr>
              <w:rPr>
                <w:sz w:val="22"/>
              </w:rPr>
            </w:pPr>
            <w:r w:rsidRPr="0090040B">
              <w:rPr>
                <w:b/>
                <w:bCs/>
                <w:color w:val="FFFFFF"/>
                <w:sz w:val="22"/>
              </w:rPr>
              <w:t>1</w:t>
            </w:r>
            <w:r w:rsidR="00AE5FEC">
              <w:rPr>
                <w:b/>
                <w:bCs/>
                <w:color w:val="FFFFFF"/>
                <w:sz w:val="22"/>
              </w:rPr>
              <w:t>6</w:t>
            </w:r>
            <w:r w:rsidRPr="0090040B">
              <w:rPr>
                <w:b/>
                <w:bCs/>
                <w:color w:val="FFFFFF"/>
                <w:sz w:val="22"/>
              </w:rPr>
              <w:t>:</w:t>
            </w:r>
            <w:r w:rsidR="00AE5FEC">
              <w:rPr>
                <w:b/>
                <w:bCs/>
                <w:color w:val="FFFFFF"/>
                <w:sz w:val="22"/>
              </w:rPr>
              <w:t>00</w:t>
            </w:r>
            <w:r w:rsidRPr="0090040B">
              <w:rPr>
                <w:b/>
                <w:bCs/>
                <w:color w:val="FFFFFF"/>
                <w:sz w:val="22"/>
              </w:rPr>
              <w:t>-16:</w:t>
            </w:r>
            <w:r w:rsidR="00AE5FEC">
              <w:rPr>
                <w:b/>
                <w:bCs/>
                <w:color w:val="FFFFFF"/>
                <w:sz w:val="22"/>
              </w:rPr>
              <w:t>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8D6FC2" w14:textId="161AA4B7" w:rsidR="00317331" w:rsidRPr="0090040B" w:rsidRDefault="00317331" w:rsidP="007B0F38">
            <w:pPr>
              <w:rPr>
                <w:color w:val="000000"/>
                <w:sz w:val="22"/>
                <w:highlight w:val="yellow"/>
              </w:rPr>
            </w:pPr>
            <w:r w:rsidRPr="0090040B">
              <w:rPr>
                <w:color w:val="000000"/>
                <w:sz w:val="22"/>
              </w:rPr>
              <w:t>Intensive lipid lowering in hypercholesterolemia: what we have learned from patients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055C17" w14:textId="77777777" w:rsidR="00317331" w:rsidRPr="0090040B" w:rsidRDefault="00317331" w:rsidP="007B0F38">
            <w:pPr>
              <w:rPr>
                <w:rFonts w:ascii="新細明體" w:hAnsi="新細明體"/>
                <w:color w:val="000000"/>
                <w:sz w:val="22"/>
              </w:rPr>
            </w:pPr>
            <w:r w:rsidRPr="0090040B">
              <w:rPr>
                <w:rFonts w:ascii="新細明體" w:hAnsi="新細明體"/>
                <w:color w:val="000000"/>
                <w:sz w:val="22"/>
              </w:rPr>
              <w:t>劉維新醫師</w:t>
            </w:r>
          </w:p>
          <w:p w14:paraId="1DAAA670" w14:textId="77777777" w:rsidR="00317331" w:rsidRPr="0090040B" w:rsidRDefault="00317331" w:rsidP="007B0F38">
            <w:pPr>
              <w:rPr>
                <w:rFonts w:ascii="新細明體" w:hAnsi="新細明體"/>
                <w:color w:val="000000"/>
                <w:sz w:val="22"/>
              </w:rPr>
            </w:pPr>
            <w:r w:rsidRPr="0090040B">
              <w:rPr>
                <w:rFonts w:ascii="新細明體" w:hAnsi="新細明體"/>
                <w:color w:val="000000"/>
                <w:sz w:val="22"/>
              </w:rPr>
              <w:t>花蓮慈濟</w:t>
            </w:r>
          </w:p>
          <w:p w14:paraId="36BFE67D" w14:textId="77777777" w:rsidR="00317331" w:rsidRPr="0090040B" w:rsidRDefault="00317331" w:rsidP="007B0F38">
            <w:pPr>
              <w:rPr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FA0E0B" w14:textId="5288A8B5" w:rsidR="00317331" w:rsidRPr="0090040B" w:rsidRDefault="00C20216" w:rsidP="007B0F38">
            <w:pPr>
              <w:rPr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劉秉彥 教授</w:t>
            </w:r>
          </w:p>
        </w:tc>
      </w:tr>
      <w:tr w:rsidR="00317331" w:rsidRPr="0090040B" w14:paraId="4D322A6A" w14:textId="77777777" w:rsidTr="007B0F3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1E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96B24" w14:textId="4D2E8DC8" w:rsidR="00317331" w:rsidRPr="0090040B" w:rsidRDefault="00317331" w:rsidP="007B0F38">
            <w:pPr>
              <w:rPr>
                <w:sz w:val="22"/>
              </w:rPr>
            </w:pPr>
            <w:r w:rsidRPr="0090040B">
              <w:rPr>
                <w:b/>
                <w:bCs/>
                <w:color w:val="FFFFFF"/>
                <w:sz w:val="22"/>
              </w:rPr>
              <w:t>16:5</w:t>
            </w:r>
            <w:r w:rsidR="00AE5FEC">
              <w:rPr>
                <w:b/>
                <w:bCs/>
                <w:color w:val="FFFFFF"/>
                <w:sz w:val="22"/>
              </w:rPr>
              <w:t>0</w:t>
            </w:r>
            <w:r w:rsidRPr="0090040B">
              <w:rPr>
                <w:b/>
                <w:bCs/>
                <w:color w:val="FFFFFF"/>
                <w:sz w:val="22"/>
              </w:rPr>
              <w:t>-1</w:t>
            </w:r>
            <w:r w:rsidR="00AE5FEC">
              <w:rPr>
                <w:b/>
                <w:bCs/>
                <w:color w:val="FFFFFF"/>
                <w:sz w:val="22"/>
              </w:rPr>
              <w:t>7</w:t>
            </w:r>
            <w:r w:rsidRPr="0090040B">
              <w:rPr>
                <w:b/>
                <w:bCs/>
                <w:color w:val="FFFFFF"/>
                <w:sz w:val="22"/>
              </w:rPr>
              <w:t>:</w:t>
            </w:r>
            <w:r w:rsidR="00AE5FEC">
              <w:rPr>
                <w:b/>
                <w:bCs/>
                <w:color w:val="FFFFFF"/>
                <w:sz w:val="22"/>
              </w:rPr>
              <w:t>00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002257" w14:textId="77777777" w:rsidR="00317331" w:rsidRPr="0090040B" w:rsidRDefault="00317331" w:rsidP="007B0F38">
            <w:pPr>
              <w:rPr>
                <w:sz w:val="22"/>
              </w:rPr>
            </w:pPr>
            <w:r w:rsidRPr="0090040B">
              <w:rPr>
                <w:color w:val="000000"/>
                <w:sz w:val="22"/>
              </w:rPr>
              <w:t>Panel discussion</w:t>
            </w:r>
          </w:p>
        </w:tc>
      </w:tr>
    </w:tbl>
    <w:p w14:paraId="66A022C9" w14:textId="34BCCE44" w:rsidR="00571AAD" w:rsidRPr="0090040B" w:rsidRDefault="00571AAD" w:rsidP="001757E7">
      <w:pPr>
        <w:jc w:val="center"/>
      </w:pPr>
      <w:r w:rsidRPr="0090040B">
        <w:br w:type="page"/>
      </w:r>
    </w:p>
    <w:p w14:paraId="55CB51CC" w14:textId="77777777" w:rsidR="00641630" w:rsidRPr="0090040B" w:rsidRDefault="00641630" w:rsidP="004B0E2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3198"/>
      </w:tblGrid>
      <w:tr w:rsidR="000D4EA5" w:rsidRPr="0090040B" w14:paraId="3A8B0016" w14:textId="77777777" w:rsidTr="00E4098C">
        <w:tc>
          <w:tcPr>
            <w:tcW w:w="1129" w:type="dxa"/>
          </w:tcPr>
          <w:p w14:paraId="14D19FA5" w14:textId="77777777" w:rsidR="000D4EA5" w:rsidRPr="0090040B" w:rsidRDefault="000D4EA5" w:rsidP="00E4098C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日期</w:t>
            </w:r>
          </w:p>
        </w:tc>
        <w:tc>
          <w:tcPr>
            <w:tcW w:w="2835" w:type="dxa"/>
          </w:tcPr>
          <w:p w14:paraId="48E645FF" w14:textId="5150A5A1" w:rsidR="000D4EA5" w:rsidRPr="0090040B" w:rsidRDefault="000D4EA5" w:rsidP="00E4098C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202</w:t>
            </w:r>
            <w:r w:rsidR="00BB4DA6" w:rsidRPr="0090040B">
              <w:rPr>
                <w:rFonts w:eastAsia="微軟正黑體"/>
                <w:sz w:val="21"/>
                <w:szCs w:val="21"/>
              </w:rPr>
              <w:t>1</w:t>
            </w:r>
            <w:r w:rsidRPr="0090040B">
              <w:rPr>
                <w:rFonts w:eastAsia="微軟正黑體"/>
                <w:sz w:val="21"/>
                <w:szCs w:val="21"/>
              </w:rPr>
              <w:t>/</w:t>
            </w:r>
            <w:r w:rsidR="00C9018B" w:rsidRPr="0090040B">
              <w:rPr>
                <w:rFonts w:eastAsia="微軟正黑體"/>
                <w:sz w:val="21"/>
                <w:szCs w:val="21"/>
              </w:rPr>
              <w:t>10</w:t>
            </w:r>
            <w:r w:rsidRPr="0090040B">
              <w:rPr>
                <w:rFonts w:eastAsia="微軟正黑體"/>
                <w:sz w:val="21"/>
                <w:szCs w:val="21"/>
              </w:rPr>
              <w:t>/</w:t>
            </w:r>
            <w:r w:rsidR="00C9018B" w:rsidRPr="0090040B">
              <w:rPr>
                <w:rFonts w:eastAsia="微軟正黑體"/>
                <w:sz w:val="21"/>
                <w:szCs w:val="21"/>
              </w:rPr>
              <w:t>30</w:t>
            </w:r>
          </w:p>
        </w:tc>
        <w:tc>
          <w:tcPr>
            <w:tcW w:w="1134" w:type="dxa"/>
          </w:tcPr>
          <w:p w14:paraId="4518254C" w14:textId="77777777" w:rsidR="000D4EA5" w:rsidRPr="0090040B" w:rsidRDefault="000D4EA5" w:rsidP="00E4098C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時間</w:t>
            </w:r>
          </w:p>
        </w:tc>
        <w:tc>
          <w:tcPr>
            <w:tcW w:w="3198" w:type="dxa"/>
          </w:tcPr>
          <w:p w14:paraId="4A5BB065" w14:textId="67A0C35B" w:rsidR="000D4EA5" w:rsidRPr="0090040B" w:rsidRDefault="00C9018B" w:rsidP="00E4098C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14:10</w:t>
            </w:r>
            <w:r w:rsidR="000D3AB7" w:rsidRPr="0090040B">
              <w:rPr>
                <w:rFonts w:eastAsia="微軟正黑體"/>
                <w:sz w:val="21"/>
                <w:szCs w:val="21"/>
              </w:rPr>
              <w:t>-1</w:t>
            </w:r>
            <w:r w:rsidR="00D90312" w:rsidRPr="0090040B">
              <w:rPr>
                <w:rFonts w:eastAsia="微軟正黑體"/>
                <w:sz w:val="21"/>
                <w:szCs w:val="21"/>
              </w:rPr>
              <w:t>0:</w:t>
            </w:r>
            <w:r w:rsidRPr="0090040B">
              <w:rPr>
                <w:rFonts w:eastAsia="微軟正黑體"/>
                <w:sz w:val="21"/>
                <w:szCs w:val="21"/>
              </w:rPr>
              <w:t>50</w:t>
            </w:r>
          </w:p>
        </w:tc>
      </w:tr>
      <w:tr w:rsidR="000D4EA5" w:rsidRPr="0090040B" w14:paraId="3493DF2E" w14:textId="77777777" w:rsidTr="00E4098C">
        <w:tc>
          <w:tcPr>
            <w:tcW w:w="1129" w:type="dxa"/>
          </w:tcPr>
          <w:p w14:paraId="018F2D54" w14:textId="77777777" w:rsidR="000D4EA5" w:rsidRPr="0090040B" w:rsidRDefault="000D4EA5" w:rsidP="00E4098C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講者</w:t>
            </w:r>
          </w:p>
        </w:tc>
        <w:tc>
          <w:tcPr>
            <w:tcW w:w="7167" w:type="dxa"/>
            <w:gridSpan w:val="3"/>
          </w:tcPr>
          <w:p w14:paraId="5A78AC13" w14:textId="0CC8978D" w:rsidR="00571AAD" w:rsidRPr="0090040B" w:rsidRDefault="00571AAD" w:rsidP="00C9018B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李俊偉醫師</w:t>
            </w:r>
          </w:p>
          <w:p w14:paraId="58BF6860" w14:textId="066ABCC7" w:rsidR="00C9018B" w:rsidRPr="0090040B" w:rsidRDefault="00C9018B" w:rsidP="00D26992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馬偕紀念醫院心臟內科主治醫師</w:t>
            </w:r>
            <w:r w:rsidR="00571AAD" w:rsidRPr="0090040B">
              <w:rPr>
                <w:rFonts w:eastAsia="微軟正黑體"/>
                <w:sz w:val="21"/>
                <w:szCs w:val="21"/>
              </w:rPr>
              <w:t xml:space="preserve"> </w:t>
            </w:r>
          </w:p>
          <w:p w14:paraId="3AFCC7CE" w14:textId="0E89F1EC" w:rsidR="00C9018B" w:rsidRPr="0090040B" w:rsidRDefault="00C9018B" w:rsidP="00D26992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馬偕紀念醫院病房主任</w:t>
            </w:r>
          </w:p>
          <w:p w14:paraId="44E10E0E" w14:textId="012066F5" w:rsidR="00634658" w:rsidRPr="0090040B" w:rsidRDefault="00C9018B" w:rsidP="00C9018B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ascii="新細明體" w:eastAsia="新細明體" w:hAnsi="Times New Roman" w:cs="新細明體"/>
                <w:noProof/>
                <w:spacing w:val="48"/>
                <w:kern w:val="0"/>
                <w:sz w:val="22"/>
              </w:rPr>
              <w:drawing>
                <wp:inline distT="0" distB="0" distL="0" distR="0" wp14:anchorId="0BD15F5A" wp14:editId="1C15DCAB">
                  <wp:extent cx="974785" cy="1447968"/>
                  <wp:effectExtent l="0" t="0" r="4445" b="0"/>
                  <wp:docPr id="1" name="Picture 1" descr="http://www.mmh.org.tw/taitam/car_int/photo/6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mh.org.tw/taitam/car_int/photo/6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85" cy="144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AA11E" w14:textId="24F0CC79" w:rsidR="00C9018B" w:rsidRPr="0090040B" w:rsidRDefault="00C9018B" w:rsidP="00524DF1">
            <w:pPr>
              <w:rPr>
                <w:rFonts w:eastAsia="微軟正黑體"/>
                <w:sz w:val="21"/>
                <w:szCs w:val="21"/>
              </w:rPr>
            </w:pPr>
          </w:p>
        </w:tc>
      </w:tr>
      <w:tr w:rsidR="000D4EA5" w:rsidRPr="0090040B" w14:paraId="4704A6E5" w14:textId="77777777" w:rsidTr="00E4098C">
        <w:tc>
          <w:tcPr>
            <w:tcW w:w="1129" w:type="dxa"/>
          </w:tcPr>
          <w:p w14:paraId="27E5C0A7" w14:textId="77777777" w:rsidR="000D4EA5" w:rsidRPr="0090040B" w:rsidRDefault="000D4EA5" w:rsidP="00E4098C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主題</w:t>
            </w:r>
          </w:p>
        </w:tc>
        <w:tc>
          <w:tcPr>
            <w:tcW w:w="7167" w:type="dxa"/>
            <w:gridSpan w:val="3"/>
          </w:tcPr>
          <w:p w14:paraId="341C9173" w14:textId="0679EB5C" w:rsidR="006A5E61" w:rsidRPr="0090040B" w:rsidRDefault="00C9018B" w:rsidP="00BB4DA6">
            <w:pPr>
              <w:rPr>
                <w:rFonts w:eastAsia="微軟正黑體"/>
                <w:b/>
                <w:bCs/>
                <w:sz w:val="21"/>
                <w:szCs w:val="21"/>
              </w:rPr>
            </w:pPr>
            <w:r w:rsidRPr="0090040B">
              <w:rPr>
                <w:rFonts w:eastAsia="微軟正黑體"/>
                <w:b/>
                <w:bCs/>
                <w:sz w:val="21"/>
                <w:szCs w:val="21"/>
              </w:rPr>
              <w:t>Early LDL-C management in post-ACS</w:t>
            </w:r>
            <w:r w:rsidR="006A71F1" w:rsidRPr="0090040B">
              <w:rPr>
                <w:rFonts w:eastAsia="微軟正黑體"/>
                <w:b/>
                <w:bCs/>
                <w:sz w:val="21"/>
                <w:szCs w:val="21"/>
              </w:rPr>
              <w:t>:</w:t>
            </w:r>
            <w:r w:rsidRPr="0090040B">
              <w:rPr>
                <w:rFonts w:eastAsia="微軟正黑體"/>
                <w:b/>
                <w:bCs/>
                <w:sz w:val="21"/>
                <w:szCs w:val="21"/>
              </w:rPr>
              <w:t xml:space="preserve"> insights from ESC 2021</w:t>
            </w:r>
          </w:p>
        </w:tc>
      </w:tr>
      <w:tr w:rsidR="000D4EA5" w:rsidRPr="0090040B" w14:paraId="5D4775F8" w14:textId="77777777" w:rsidTr="00E4098C">
        <w:tc>
          <w:tcPr>
            <w:tcW w:w="8296" w:type="dxa"/>
            <w:gridSpan w:val="4"/>
          </w:tcPr>
          <w:p w14:paraId="188368EC" w14:textId="059D8005" w:rsidR="000D4EA5" w:rsidRPr="0090040B" w:rsidRDefault="000D4EA5" w:rsidP="00E03E80">
            <w:pPr>
              <w:snapToGrid w:val="0"/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摘要</w:t>
            </w:r>
          </w:p>
          <w:p w14:paraId="5F6D74BA" w14:textId="6A20CC69" w:rsidR="00E7339F" w:rsidRPr="0090040B" w:rsidRDefault="006A71F1" w:rsidP="005B7CE5">
            <w:pPr>
              <w:ind w:firstLineChars="153" w:firstLine="321"/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R</w:t>
            </w:r>
            <w:r w:rsidR="009762B2" w:rsidRPr="0090040B">
              <w:rPr>
                <w:rFonts w:eastAsia="微軟正黑體"/>
                <w:sz w:val="21"/>
                <w:szCs w:val="21"/>
              </w:rPr>
              <w:t>CTs</w:t>
            </w:r>
            <w:r w:rsidRPr="0090040B">
              <w:rPr>
                <w:rFonts w:eastAsia="微軟正黑體"/>
                <w:sz w:val="21"/>
                <w:szCs w:val="21"/>
              </w:rPr>
              <w:t xml:space="preserve"> have unequivocally established that lowering levels of LDL-C reduces </w:t>
            </w:r>
            <w:r w:rsidR="005B7CE5" w:rsidRPr="0090040B">
              <w:rPr>
                <w:rFonts w:eastAsia="微軟正黑體"/>
                <w:sz w:val="21"/>
                <w:szCs w:val="21"/>
              </w:rPr>
              <w:t>CV</w:t>
            </w:r>
            <w:r w:rsidRPr="0090040B">
              <w:rPr>
                <w:rFonts w:eastAsia="微軟正黑體"/>
                <w:sz w:val="21"/>
                <w:szCs w:val="21"/>
              </w:rPr>
              <w:t xml:space="preserve"> event rates in secondary prevention setting.</w:t>
            </w:r>
            <w:r w:rsidR="005B7CE5" w:rsidRPr="0090040B">
              <w:rPr>
                <w:rFonts w:eastAsia="微軟正黑體"/>
                <w:sz w:val="21"/>
                <w:szCs w:val="21"/>
              </w:rPr>
              <w:t xml:space="preserve"> </w:t>
            </w:r>
            <w:r w:rsidR="009762B2" w:rsidRPr="0090040B">
              <w:rPr>
                <w:rFonts w:eastAsia="微軟正黑體"/>
                <w:sz w:val="21"/>
                <w:szCs w:val="21"/>
              </w:rPr>
              <w:t xml:space="preserve">Previous </w:t>
            </w:r>
            <w:r w:rsidR="005B7CE5" w:rsidRPr="0090040B">
              <w:rPr>
                <w:rFonts w:eastAsia="微軟正黑體"/>
                <w:sz w:val="21"/>
                <w:szCs w:val="21"/>
              </w:rPr>
              <w:t xml:space="preserve">intracoronary imaging </w:t>
            </w:r>
            <w:r w:rsidR="009762B2" w:rsidRPr="0090040B">
              <w:rPr>
                <w:rFonts w:eastAsia="微軟正黑體"/>
                <w:sz w:val="21"/>
                <w:szCs w:val="21"/>
              </w:rPr>
              <w:t xml:space="preserve">studies </w:t>
            </w:r>
            <w:r w:rsidR="005B7CE5" w:rsidRPr="0090040B">
              <w:rPr>
                <w:rFonts w:eastAsia="微軟正黑體"/>
                <w:sz w:val="21"/>
                <w:szCs w:val="21"/>
              </w:rPr>
              <w:t>demonstrated that intensive lipid lowering therapy slow</w:t>
            </w:r>
            <w:r w:rsidR="009762B2" w:rsidRPr="0090040B">
              <w:rPr>
                <w:rFonts w:eastAsia="微軟正黑體"/>
                <w:sz w:val="21"/>
                <w:szCs w:val="21"/>
              </w:rPr>
              <w:t>ed</w:t>
            </w:r>
            <w:r w:rsidR="005B7CE5" w:rsidRPr="0090040B">
              <w:rPr>
                <w:rFonts w:eastAsia="微軟正黑體"/>
                <w:sz w:val="21"/>
                <w:szCs w:val="21"/>
              </w:rPr>
              <w:t xml:space="preserve"> disease progression and promote</w:t>
            </w:r>
            <w:r w:rsidR="009762B2" w:rsidRPr="0090040B">
              <w:rPr>
                <w:rFonts w:eastAsia="微軟正黑體"/>
                <w:sz w:val="21"/>
                <w:szCs w:val="21"/>
              </w:rPr>
              <w:t>d</w:t>
            </w:r>
            <w:r w:rsidR="005B7CE5" w:rsidRPr="0090040B">
              <w:rPr>
                <w:rFonts w:eastAsia="微軟正黑體"/>
                <w:sz w:val="21"/>
                <w:szCs w:val="21"/>
              </w:rPr>
              <w:t xml:space="preserve"> atherosclerotic plaque regression. However, not only the plaque burden, but also the plaque composition plays a role in the improved CV outcomes. Increasing</w:t>
            </w:r>
            <w:r w:rsidR="00641630" w:rsidRPr="0090040B">
              <w:rPr>
                <w:rFonts w:eastAsia="微軟正黑體"/>
                <w:sz w:val="21"/>
                <w:szCs w:val="21"/>
              </w:rPr>
              <w:t xml:space="preserve"> evidence </w:t>
            </w:r>
            <w:r w:rsidR="00BD505E" w:rsidRPr="0090040B">
              <w:rPr>
                <w:rFonts w:eastAsia="微軟正黑體"/>
                <w:sz w:val="21"/>
                <w:szCs w:val="21"/>
              </w:rPr>
              <w:t xml:space="preserve">has </w:t>
            </w:r>
            <w:r w:rsidR="00641630" w:rsidRPr="0090040B">
              <w:rPr>
                <w:rFonts w:eastAsia="微軟正黑體"/>
                <w:sz w:val="21"/>
                <w:szCs w:val="21"/>
              </w:rPr>
              <w:t>suggest</w:t>
            </w:r>
            <w:r w:rsidR="00BD505E" w:rsidRPr="0090040B">
              <w:rPr>
                <w:rFonts w:eastAsia="微軟正黑體"/>
                <w:sz w:val="21"/>
                <w:szCs w:val="21"/>
              </w:rPr>
              <w:t>ed</w:t>
            </w:r>
            <w:r w:rsidR="00641630" w:rsidRPr="0090040B">
              <w:rPr>
                <w:rFonts w:eastAsia="微軟正黑體"/>
                <w:sz w:val="21"/>
                <w:szCs w:val="21"/>
              </w:rPr>
              <w:t xml:space="preserve"> that </w:t>
            </w:r>
            <w:r w:rsidR="005B7CE5" w:rsidRPr="0090040B">
              <w:rPr>
                <w:rFonts w:eastAsia="微軟正黑體"/>
                <w:sz w:val="21"/>
                <w:szCs w:val="21"/>
              </w:rPr>
              <w:t xml:space="preserve">both </w:t>
            </w:r>
            <w:r w:rsidR="00641630" w:rsidRPr="0090040B">
              <w:rPr>
                <w:rFonts w:eastAsia="微軟正黑體"/>
                <w:sz w:val="21"/>
                <w:szCs w:val="21"/>
              </w:rPr>
              <w:t>statins</w:t>
            </w:r>
            <w:r w:rsidR="005B7CE5" w:rsidRPr="0090040B">
              <w:rPr>
                <w:rFonts w:eastAsia="微軟正黑體"/>
                <w:sz w:val="21"/>
                <w:szCs w:val="21"/>
              </w:rPr>
              <w:t xml:space="preserve"> and</w:t>
            </w:r>
            <w:r w:rsidR="00641630" w:rsidRPr="0090040B">
              <w:rPr>
                <w:rFonts w:eastAsia="微軟正黑體"/>
                <w:sz w:val="21"/>
                <w:szCs w:val="21"/>
              </w:rPr>
              <w:t xml:space="preserve"> </w:t>
            </w:r>
            <w:r w:rsidR="00BD505E" w:rsidRPr="0090040B">
              <w:rPr>
                <w:rFonts w:eastAsia="微軟正黑體"/>
                <w:sz w:val="21"/>
                <w:szCs w:val="21"/>
              </w:rPr>
              <w:t>non-statin-based lipid lowering therapies</w:t>
            </w:r>
            <w:r w:rsidR="00641630" w:rsidRPr="0090040B">
              <w:rPr>
                <w:rFonts w:eastAsia="微軟正黑體"/>
                <w:sz w:val="21"/>
                <w:szCs w:val="21"/>
              </w:rPr>
              <w:t xml:space="preserve"> can modulate factors within plaque that confer</w:t>
            </w:r>
            <w:r w:rsidR="00BD505E" w:rsidRPr="0090040B">
              <w:rPr>
                <w:rFonts w:eastAsia="微軟正黑體"/>
                <w:sz w:val="21"/>
                <w:szCs w:val="21"/>
              </w:rPr>
              <w:t>s</w:t>
            </w:r>
            <w:r w:rsidR="00641630" w:rsidRPr="0090040B">
              <w:rPr>
                <w:rFonts w:eastAsia="微軟正黑體"/>
                <w:sz w:val="21"/>
                <w:szCs w:val="21"/>
              </w:rPr>
              <w:t xml:space="preserve"> a vulnerable state. </w:t>
            </w:r>
            <w:r w:rsidR="005B7CE5" w:rsidRPr="0090040B">
              <w:rPr>
                <w:rFonts w:eastAsia="微軟正黑體"/>
                <w:sz w:val="21"/>
                <w:szCs w:val="21"/>
              </w:rPr>
              <w:t>As such, s</w:t>
            </w:r>
            <w:r w:rsidR="00641630" w:rsidRPr="0090040B">
              <w:rPr>
                <w:rFonts w:eastAsia="微軟正黑體"/>
                <w:sz w:val="21"/>
                <w:szCs w:val="21"/>
              </w:rPr>
              <w:t>tabili</w:t>
            </w:r>
            <w:r w:rsidR="005B7CE5" w:rsidRPr="0090040B">
              <w:rPr>
                <w:rFonts w:eastAsia="微軟正黑體"/>
                <w:sz w:val="21"/>
                <w:szCs w:val="21"/>
              </w:rPr>
              <w:t>z</w:t>
            </w:r>
            <w:r w:rsidR="00641630" w:rsidRPr="0090040B">
              <w:rPr>
                <w:rFonts w:eastAsia="微軟正黑體"/>
                <w:sz w:val="21"/>
                <w:szCs w:val="21"/>
              </w:rPr>
              <w:t>ing the vulnerable plaque may become a new target for secondary prevention.</w:t>
            </w:r>
          </w:p>
          <w:p w14:paraId="61E69924" w14:textId="77777777" w:rsidR="009762B2" w:rsidRPr="0090040B" w:rsidRDefault="009762B2" w:rsidP="005B7CE5">
            <w:pPr>
              <w:ind w:firstLineChars="153" w:firstLine="321"/>
              <w:rPr>
                <w:rFonts w:eastAsia="微軟正黑體"/>
                <w:sz w:val="21"/>
                <w:szCs w:val="21"/>
              </w:rPr>
            </w:pPr>
          </w:p>
          <w:p w14:paraId="1D5E72CB" w14:textId="25332E0A" w:rsidR="009762B2" w:rsidRPr="0090040B" w:rsidRDefault="009762B2" w:rsidP="009762B2">
            <w:pPr>
              <w:ind w:firstLineChars="153" w:firstLine="321"/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The first</w:t>
            </w:r>
            <w:r w:rsidR="005B7CE5" w:rsidRPr="0090040B">
              <w:rPr>
                <w:rFonts w:eastAsia="微軟正黑體"/>
                <w:sz w:val="21"/>
                <w:szCs w:val="21"/>
              </w:rPr>
              <w:t xml:space="preserve"> </w:t>
            </w:r>
            <w:r w:rsidRPr="0090040B">
              <w:rPr>
                <w:rFonts w:eastAsia="微軟正黑體"/>
                <w:sz w:val="21"/>
                <w:szCs w:val="21"/>
              </w:rPr>
              <w:t>half of</w:t>
            </w:r>
            <w:r w:rsidR="005B7CE5" w:rsidRPr="0090040B">
              <w:rPr>
                <w:rFonts w:eastAsia="微軟正黑體"/>
                <w:sz w:val="21"/>
                <w:szCs w:val="21"/>
              </w:rPr>
              <w:t xml:space="preserve"> Dr. Le</w:t>
            </w:r>
            <w:r w:rsidRPr="0090040B">
              <w:rPr>
                <w:rFonts w:eastAsia="微軟正黑體"/>
                <w:sz w:val="21"/>
                <w:szCs w:val="21"/>
              </w:rPr>
              <w:t xml:space="preserve">e’s </w:t>
            </w:r>
            <w:r w:rsidR="00BF06D1">
              <w:rPr>
                <w:rFonts w:eastAsia="微軟正黑體"/>
                <w:sz w:val="21"/>
                <w:szCs w:val="21"/>
              </w:rPr>
              <w:t>session</w:t>
            </w:r>
            <w:r w:rsidRPr="0090040B">
              <w:rPr>
                <w:rFonts w:eastAsia="微軟正黑體"/>
                <w:sz w:val="21"/>
                <w:szCs w:val="21"/>
              </w:rPr>
              <w:t xml:space="preserve"> will focus on the </w:t>
            </w:r>
            <w:r w:rsidR="005B7CE5" w:rsidRPr="0090040B">
              <w:rPr>
                <w:rFonts w:eastAsia="微軟正黑體"/>
                <w:sz w:val="21"/>
                <w:szCs w:val="21"/>
              </w:rPr>
              <w:t xml:space="preserve">latest </w:t>
            </w:r>
            <w:r w:rsidRPr="0090040B">
              <w:rPr>
                <w:rFonts w:eastAsia="微軟正黑體"/>
                <w:sz w:val="21"/>
                <w:szCs w:val="21"/>
              </w:rPr>
              <w:t xml:space="preserve">clinical benefits of intensified lipid-lowering </w:t>
            </w:r>
            <w:r w:rsidR="005B7CE5" w:rsidRPr="0090040B">
              <w:rPr>
                <w:rFonts w:eastAsia="微軟正黑體"/>
                <w:sz w:val="21"/>
                <w:szCs w:val="21"/>
              </w:rPr>
              <w:t>in post-ACS care</w:t>
            </w:r>
            <w:r w:rsidR="00BF06D1">
              <w:rPr>
                <w:rFonts w:eastAsia="微軟正黑體"/>
                <w:sz w:val="21"/>
                <w:szCs w:val="21"/>
              </w:rPr>
              <w:t>, along with</w:t>
            </w:r>
            <w:r w:rsidR="005B7CE5" w:rsidRPr="0090040B">
              <w:rPr>
                <w:rFonts w:eastAsia="微軟正黑體"/>
                <w:sz w:val="21"/>
                <w:szCs w:val="21"/>
              </w:rPr>
              <w:t xml:space="preserve"> </w:t>
            </w:r>
            <w:r w:rsidRPr="0090040B">
              <w:rPr>
                <w:rFonts w:eastAsia="微軟正黑體"/>
                <w:sz w:val="21"/>
                <w:szCs w:val="21"/>
              </w:rPr>
              <w:t>a summary of</w:t>
            </w:r>
            <w:r w:rsidR="005B7CE5" w:rsidRPr="0090040B">
              <w:rPr>
                <w:rFonts w:eastAsia="微軟正黑體"/>
                <w:sz w:val="21"/>
                <w:szCs w:val="21"/>
              </w:rPr>
              <w:t xml:space="preserve"> plaque</w:t>
            </w:r>
            <w:r w:rsidRPr="0090040B">
              <w:rPr>
                <w:rFonts w:eastAsia="微軟正黑體"/>
                <w:sz w:val="21"/>
                <w:szCs w:val="21"/>
              </w:rPr>
              <w:t xml:space="preserve"> modulation trials</w:t>
            </w:r>
            <w:r w:rsidR="005B7CE5" w:rsidRPr="0090040B">
              <w:rPr>
                <w:rFonts w:eastAsia="微軟正黑體"/>
                <w:sz w:val="21"/>
                <w:szCs w:val="21"/>
              </w:rPr>
              <w:t xml:space="preserve"> </w:t>
            </w:r>
            <w:r w:rsidRPr="0090040B">
              <w:rPr>
                <w:rFonts w:eastAsia="微軟正黑體"/>
                <w:sz w:val="21"/>
                <w:szCs w:val="21"/>
              </w:rPr>
              <w:t>by intensified lipid-lowering. Dr. Lee will then introduce the</w:t>
            </w:r>
            <w:r w:rsidR="00BD505E" w:rsidRPr="0090040B">
              <w:rPr>
                <w:rFonts w:eastAsia="微軟正黑體"/>
                <w:sz w:val="21"/>
                <w:szCs w:val="21"/>
              </w:rPr>
              <w:t xml:space="preserve"> results of the</w:t>
            </w:r>
            <w:r w:rsidRPr="0090040B">
              <w:rPr>
                <w:rFonts w:eastAsia="微軟正黑體"/>
                <w:sz w:val="21"/>
                <w:szCs w:val="21"/>
              </w:rPr>
              <w:t xml:space="preserve"> latest ESC data on vulnerable plaque stabilization</w:t>
            </w:r>
            <w:r w:rsidR="00BD505E" w:rsidRPr="0090040B">
              <w:rPr>
                <w:rFonts w:eastAsia="微軟正黑體"/>
                <w:sz w:val="21"/>
                <w:szCs w:val="21"/>
              </w:rPr>
              <w:t xml:space="preserve"> in ACS after treatment with PCSK9 inhibitor</w:t>
            </w:r>
            <w:r w:rsidR="00CE266F">
              <w:rPr>
                <w:rFonts w:eastAsia="微軟正黑體"/>
                <w:sz w:val="21"/>
                <w:szCs w:val="21"/>
              </w:rPr>
              <w:t xml:space="preserve">, which </w:t>
            </w:r>
            <w:r w:rsidR="00BF06D1">
              <w:rPr>
                <w:rFonts w:eastAsia="微軟正黑體"/>
                <w:sz w:val="21"/>
                <w:szCs w:val="21"/>
              </w:rPr>
              <w:t>provide insights</w:t>
            </w:r>
            <w:r w:rsidR="00CE266F">
              <w:rPr>
                <w:rFonts w:eastAsia="微軟正黑體"/>
                <w:sz w:val="21"/>
                <w:szCs w:val="21"/>
              </w:rPr>
              <w:t xml:space="preserve"> </w:t>
            </w:r>
            <w:r w:rsidR="007853A5">
              <w:rPr>
                <w:rFonts w:eastAsia="微軟正黑體"/>
                <w:sz w:val="21"/>
                <w:szCs w:val="21"/>
              </w:rPr>
              <w:t xml:space="preserve">regarding </w:t>
            </w:r>
            <w:r w:rsidR="00CE266F">
              <w:rPr>
                <w:rFonts w:eastAsia="微軟正黑體"/>
                <w:sz w:val="21"/>
                <w:szCs w:val="21"/>
              </w:rPr>
              <w:t>the benefits of early and aggressive lipid lowering</w:t>
            </w:r>
            <w:r w:rsidRPr="0090040B">
              <w:rPr>
                <w:rFonts w:eastAsia="微軟正黑體"/>
                <w:sz w:val="21"/>
                <w:szCs w:val="21"/>
              </w:rPr>
              <w:t xml:space="preserve"> in secondary prevention </w:t>
            </w:r>
            <w:r w:rsidR="00CE266F">
              <w:rPr>
                <w:rFonts w:eastAsia="微軟正黑體"/>
                <w:sz w:val="21"/>
                <w:szCs w:val="21"/>
              </w:rPr>
              <w:t>settings</w:t>
            </w:r>
            <w:r w:rsidRPr="0090040B">
              <w:rPr>
                <w:rFonts w:eastAsia="微軟正黑體"/>
                <w:sz w:val="21"/>
                <w:szCs w:val="21"/>
              </w:rPr>
              <w:t xml:space="preserve">. </w:t>
            </w:r>
          </w:p>
          <w:p w14:paraId="63CD7D29" w14:textId="19318F98" w:rsidR="005B7CE5" w:rsidRPr="0090040B" w:rsidRDefault="005B7CE5" w:rsidP="009762B2">
            <w:pPr>
              <w:ind w:firstLineChars="153" w:firstLine="321"/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 xml:space="preserve">  </w:t>
            </w:r>
          </w:p>
        </w:tc>
      </w:tr>
    </w:tbl>
    <w:p w14:paraId="2CE35C20" w14:textId="78A5D52C" w:rsidR="00BD505E" w:rsidRPr="0090040B" w:rsidRDefault="00BD505E">
      <w:pPr>
        <w:rPr>
          <w:sz w:val="21"/>
          <w:szCs w:val="21"/>
        </w:rPr>
      </w:pPr>
      <w:r w:rsidRPr="0090040B">
        <w:rPr>
          <w:sz w:val="21"/>
          <w:szCs w:val="21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3198"/>
      </w:tblGrid>
      <w:tr w:rsidR="00CF4453" w:rsidRPr="0090040B" w14:paraId="3C1BAB41" w14:textId="77777777" w:rsidTr="007B0F38">
        <w:tc>
          <w:tcPr>
            <w:tcW w:w="1129" w:type="dxa"/>
          </w:tcPr>
          <w:p w14:paraId="5BF3441C" w14:textId="77777777" w:rsidR="00CF4453" w:rsidRPr="0090040B" w:rsidRDefault="00CF4453" w:rsidP="007B0F38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lastRenderedPageBreak/>
              <w:t>日期</w:t>
            </w:r>
          </w:p>
        </w:tc>
        <w:tc>
          <w:tcPr>
            <w:tcW w:w="2835" w:type="dxa"/>
          </w:tcPr>
          <w:p w14:paraId="1E88E062" w14:textId="77777777" w:rsidR="00CF4453" w:rsidRPr="0090040B" w:rsidRDefault="00CF4453" w:rsidP="007B0F38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2021/10/30</w:t>
            </w:r>
          </w:p>
        </w:tc>
        <w:tc>
          <w:tcPr>
            <w:tcW w:w="1134" w:type="dxa"/>
          </w:tcPr>
          <w:p w14:paraId="0414CCE6" w14:textId="77777777" w:rsidR="00CF4453" w:rsidRPr="0090040B" w:rsidRDefault="00CF4453" w:rsidP="007B0F38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時間</w:t>
            </w:r>
          </w:p>
        </w:tc>
        <w:tc>
          <w:tcPr>
            <w:tcW w:w="3198" w:type="dxa"/>
          </w:tcPr>
          <w:p w14:paraId="2D0536FF" w14:textId="416AEA78" w:rsidR="00CF4453" w:rsidRPr="0090040B" w:rsidRDefault="00CF4453" w:rsidP="007B0F38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14:50-15:30</w:t>
            </w:r>
          </w:p>
        </w:tc>
      </w:tr>
      <w:tr w:rsidR="00CF4453" w:rsidRPr="0090040B" w14:paraId="1DA395E7" w14:textId="77777777" w:rsidTr="007B0F38">
        <w:tc>
          <w:tcPr>
            <w:tcW w:w="1129" w:type="dxa"/>
          </w:tcPr>
          <w:p w14:paraId="0C85B58E" w14:textId="77777777" w:rsidR="00CF4453" w:rsidRPr="0090040B" w:rsidRDefault="00CF4453" w:rsidP="007B0F38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講者</w:t>
            </w:r>
          </w:p>
        </w:tc>
        <w:tc>
          <w:tcPr>
            <w:tcW w:w="7167" w:type="dxa"/>
            <w:gridSpan w:val="3"/>
          </w:tcPr>
          <w:p w14:paraId="0092D35E" w14:textId="14E1BC37" w:rsidR="00CF4453" w:rsidRPr="0090040B" w:rsidRDefault="00CF4453" w:rsidP="007B0F38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邱淳志醫師</w:t>
            </w:r>
          </w:p>
          <w:p w14:paraId="1E2EA768" w14:textId="1905C2DF" w:rsidR="00D26992" w:rsidRPr="0090040B" w:rsidRDefault="00D26992" w:rsidP="00D26992">
            <w:pPr>
              <w:pStyle w:val="a8"/>
              <w:numPr>
                <w:ilvl w:val="0"/>
                <w:numId w:val="8"/>
              </w:numPr>
              <w:ind w:leftChars="0"/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雙和醫院心臟內科專任主治醫師</w:t>
            </w:r>
            <w:r w:rsidRPr="0090040B">
              <w:rPr>
                <w:rFonts w:eastAsia="微軟正黑體"/>
                <w:sz w:val="21"/>
                <w:szCs w:val="21"/>
              </w:rPr>
              <w:t xml:space="preserve"> </w:t>
            </w:r>
          </w:p>
          <w:p w14:paraId="2F9CA617" w14:textId="3B7B7CDE" w:rsidR="00D26992" w:rsidRPr="0090040B" w:rsidRDefault="00D26992" w:rsidP="00D26992">
            <w:pPr>
              <w:pStyle w:val="a8"/>
              <w:numPr>
                <w:ilvl w:val="0"/>
                <w:numId w:val="8"/>
              </w:numPr>
              <w:ind w:leftChars="0"/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國立陽明大學醫學系講師</w:t>
            </w:r>
          </w:p>
          <w:p w14:paraId="3EDCE27A" w14:textId="58CF9BE6" w:rsidR="00CF4453" w:rsidRPr="0090040B" w:rsidRDefault="00EF0C44" w:rsidP="00D26992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noProof/>
              </w:rPr>
              <w:drawing>
                <wp:inline distT="0" distB="0" distL="0" distR="0" wp14:anchorId="58324F04" wp14:editId="1D0E3AAD">
                  <wp:extent cx="1332365" cy="1121434"/>
                  <wp:effectExtent l="0" t="0" r="1270" b="2540"/>
                  <wp:docPr id="4" name="Picture 4" descr="Chun-Chih Chiu — 臺北醫學大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un-Chih Chiu — 臺北醫學大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291" cy="115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927AB" w14:textId="77777777" w:rsidR="00CF4453" w:rsidRPr="0090040B" w:rsidRDefault="00CF4453" w:rsidP="007B0F38">
            <w:pPr>
              <w:rPr>
                <w:rFonts w:eastAsia="微軟正黑體"/>
                <w:sz w:val="21"/>
                <w:szCs w:val="21"/>
              </w:rPr>
            </w:pPr>
          </w:p>
        </w:tc>
      </w:tr>
      <w:tr w:rsidR="00CF4453" w:rsidRPr="0090040B" w14:paraId="2B16ABA6" w14:textId="77777777" w:rsidTr="007B0F38">
        <w:tc>
          <w:tcPr>
            <w:tcW w:w="1129" w:type="dxa"/>
          </w:tcPr>
          <w:p w14:paraId="27BA7D09" w14:textId="77777777" w:rsidR="00CF4453" w:rsidRPr="0090040B" w:rsidRDefault="00CF4453" w:rsidP="007B0F38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主題</w:t>
            </w:r>
          </w:p>
        </w:tc>
        <w:tc>
          <w:tcPr>
            <w:tcW w:w="7167" w:type="dxa"/>
            <w:gridSpan w:val="3"/>
          </w:tcPr>
          <w:p w14:paraId="385B8C00" w14:textId="4ADD2F11" w:rsidR="00CF4453" w:rsidRPr="0090040B" w:rsidRDefault="00CF4453" w:rsidP="007B0F38">
            <w:pPr>
              <w:rPr>
                <w:rFonts w:eastAsia="微軟正黑體"/>
                <w:b/>
                <w:bCs/>
                <w:sz w:val="21"/>
                <w:szCs w:val="21"/>
              </w:rPr>
            </w:pPr>
            <w:r w:rsidRPr="0090040B">
              <w:rPr>
                <w:rFonts w:eastAsia="微軟正黑體"/>
                <w:b/>
                <w:bCs/>
                <w:sz w:val="21"/>
                <w:szCs w:val="21"/>
              </w:rPr>
              <w:t>Who demonstrates better outcomes in non-statin lipid management?</w:t>
            </w:r>
          </w:p>
        </w:tc>
      </w:tr>
      <w:tr w:rsidR="00CF4453" w:rsidRPr="0090040B" w14:paraId="3E76653C" w14:textId="77777777" w:rsidTr="007B0F38">
        <w:tc>
          <w:tcPr>
            <w:tcW w:w="8296" w:type="dxa"/>
            <w:gridSpan w:val="4"/>
          </w:tcPr>
          <w:p w14:paraId="1FC3DC5E" w14:textId="77777777" w:rsidR="00CF4453" w:rsidRPr="0090040B" w:rsidRDefault="00CF4453" w:rsidP="007B0F38">
            <w:pPr>
              <w:snapToGrid w:val="0"/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摘要</w:t>
            </w:r>
          </w:p>
          <w:p w14:paraId="73440342" w14:textId="53A824E5" w:rsidR="0090040B" w:rsidRDefault="00A807F3" w:rsidP="0090040B">
            <w:pPr>
              <w:ind w:firstLineChars="153" w:firstLine="321"/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 xml:space="preserve">Lowering LDL-C has been integral part of the treatment of patients with ASCVD, with statins being the mainstay of therapy. Over the last 4 years, the FOURIER and ODESSY Outcomes </w:t>
            </w:r>
            <w:r w:rsidR="00CE266F">
              <w:rPr>
                <w:rFonts w:eastAsia="微軟正黑體"/>
                <w:sz w:val="21"/>
                <w:szCs w:val="21"/>
              </w:rPr>
              <w:t>T</w:t>
            </w:r>
            <w:r w:rsidRPr="0090040B">
              <w:rPr>
                <w:rFonts w:eastAsia="微軟正黑體"/>
                <w:sz w:val="21"/>
                <w:szCs w:val="21"/>
              </w:rPr>
              <w:t xml:space="preserve">rials have demonstrated </w:t>
            </w:r>
            <w:r w:rsidR="0090040B" w:rsidRPr="0090040B">
              <w:rPr>
                <w:rFonts w:eastAsia="微軟正黑體"/>
                <w:sz w:val="21"/>
                <w:szCs w:val="21"/>
              </w:rPr>
              <w:t xml:space="preserve">favorable efficacy </w:t>
            </w:r>
            <w:r w:rsidR="0090040B">
              <w:rPr>
                <w:rFonts w:eastAsia="微軟正黑體"/>
                <w:sz w:val="21"/>
                <w:szCs w:val="21"/>
              </w:rPr>
              <w:t xml:space="preserve">and </w:t>
            </w:r>
            <w:r w:rsidR="0090040B" w:rsidRPr="0090040B">
              <w:rPr>
                <w:rFonts w:eastAsia="微軟正黑體"/>
                <w:sz w:val="21"/>
                <w:szCs w:val="21"/>
              </w:rPr>
              <w:t xml:space="preserve">safety </w:t>
            </w:r>
            <w:r w:rsidR="0090040B">
              <w:rPr>
                <w:rFonts w:eastAsia="微軟正黑體"/>
                <w:sz w:val="21"/>
                <w:szCs w:val="21"/>
              </w:rPr>
              <w:t xml:space="preserve">of </w:t>
            </w:r>
            <w:r w:rsidR="0090040B" w:rsidRPr="0090040B">
              <w:rPr>
                <w:rFonts w:eastAsia="微軟正黑體"/>
                <w:sz w:val="21"/>
                <w:szCs w:val="21"/>
              </w:rPr>
              <w:t>PCSK9 inhibitors when added to stains</w:t>
            </w:r>
            <w:r w:rsidR="0090040B">
              <w:rPr>
                <w:rFonts w:eastAsia="微軟正黑體"/>
                <w:sz w:val="21"/>
                <w:szCs w:val="21"/>
              </w:rPr>
              <w:t xml:space="preserve">. Despite the exciting experience from these successful clinical trials, the cost of these novel agents remains an issue. </w:t>
            </w:r>
            <w:r w:rsidR="009B74FC">
              <w:rPr>
                <w:rFonts w:eastAsia="微軟正黑體"/>
                <w:sz w:val="21"/>
                <w:szCs w:val="21"/>
              </w:rPr>
              <w:t>W</w:t>
            </w:r>
            <w:r w:rsidR="001575FD" w:rsidRPr="0090040B">
              <w:rPr>
                <w:rFonts w:eastAsia="微軟正黑體"/>
                <w:sz w:val="21"/>
                <w:szCs w:val="21"/>
              </w:rPr>
              <w:t xml:space="preserve">ith a growing desire for personalized and cost-efficient medicine, it is reasonable to seek to identify subgroups of patients who </w:t>
            </w:r>
            <w:r w:rsidR="0014488A">
              <w:rPr>
                <w:rFonts w:eastAsia="微軟正黑體"/>
                <w:sz w:val="21"/>
                <w:szCs w:val="21"/>
              </w:rPr>
              <w:t xml:space="preserve">demonstrate better outcomes </w:t>
            </w:r>
            <w:r w:rsidR="001575FD" w:rsidRPr="0090040B">
              <w:rPr>
                <w:rFonts w:eastAsia="微軟正黑體"/>
                <w:sz w:val="21"/>
                <w:szCs w:val="21"/>
              </w:rPr>
              <w:t>from</w:t>
            </w:r>
            <w:r w:rsidR="0014488A">
              <w:rPr>
                <w:rFonts w:eastAsia="微軟正黑體"/>
                <w:sz w:val="21"/>
                <w:szCs w:val="21"/>
              </w:rPr>
              <w:t xml:space="preserve"> </w:t>
            </w:r>
            <w:r w:rsidR="0014488A" w:rsidRPr="0014488A">
              <w:rPr>
                <w:rFonts w:eastAsia="微軟正黑體"/>
                <w:sz w:val="21"/>
                <w:szCs w:val="21"/>
              </w:rPr>
              <w:t>PCSK9 inhibit</w:t>
            </w:r>
            <w:r w:rsidR="0014488A">
              <w:rPr>
                <w:rFonts w:eastAsia="微軟正黑體"/>
                <w:sz w:val="21"/>
                <w:szCs w:val="21"/>
              </w:rPr>
              <w:t>ion</w:t>
            </w:r>
            <w:r w:rsidR="001575FD" w:rsidRPr="0090040B">
              <w:rPr>
                <w:rFonts w:eastAsia="微軟正黑體"/>
                <w:sz w:val="21"/>
                <w:szCs w:val="21"/>
              </w:rPr>
              <w:t xml:space="preserve">. </w:t>
            </w:r>
          </w:p>
          <w:p w14:paraId="4C66BF0C" w14:textId="77777777" w:rsidR="0090040B" w:rsidRPr="0014488A" w:rsidRDefault="0090040B" w:rsidP="0090040B">
            <w:pPr>
              <w:ind w:firstLineChars="153" w:firstLine="321"/>
              <w:rPr>
                <w:rFonts w:eastAsia="微軟正黑體"/>
                <w:sz w:val="21"/>
                <w:szCs w:val="21"/>
              </w:rPr>
            </w:pPr>
          </w:p>
          <w:p w14:paraId="142B9118" w14:textId="10796884" w:rsidR="00CE266F" w:rsidRPr="0090040B" w:rsidRDefault="0090040B" w:rsidP="00CE266F">
            <w:pPr>
              <w:ind w:firstLineChars="153" w:firstLine="321"/>
              <w:rPr>
                <w:rFonts w:eastAsia="微軟正黑體"/>
                <w:sz w:val="21"/>
                <w:szCs w:val="21"/>
              </w:rPr>
            </w:pPr>
            <w:r>
              <w:rPr>
                <w:rFonts w:eastAsia="微軟正黑體"/>
                <w:sz w:val="21"/>
                <w:szCs w:val="21"/>
              </w:rPr>
              <w:t xml:space="preserve">In </w:t>
            </w:r>
            <w:r w:rsidR="001145B0">
              <w:rPr>
                <w:rFonts w:eastAsia="微軟正黑體"/>
                <w:sz w:val="21"/>
                <w:szCs w:val="21"/>
              </w:rPr>
              <w:t>this s</w:t>
            </w:r>
            <w:r>
              <w:rPr>
                <w:rFonts w:eastAsia="微軟正黑體"/>
                <w:sz w:val="21"/>
                <w:szCs w:val="21"/>
              </w:rPr>
              <w:t xml:space="preserve">ession, </w:t>
            </w:r>
            <w:r w:rsidR="001145B0">
              <w:rPr>
                <w:rFonts w:eastAsia="微軟正黑體"/>
                <w:sz w:val="21"/>
                <w:szCs w:val="21"/>
              </w:rPr>
              <w:t xml:space="preserve">Dr. Chiu will present </w:t>
            </w:r>
            <w:r>
              <w:rPr>
                <w:rFonts w:eastAsia="微軟正黑體"/>
                <w:sz w:val="21"/>
                <w:szCs w:val="21"/>
              </w:rPr>
              <w:t xml:space="preserve">key subgroups analyses </w:t>
            </w:r>
            <w:r w:rsidR="00652087">
              <w:rPr>
                <w:rFonts w:eastAsia="微軟正黑體"/>
                <w:sz w:val="21"/>
                <w:szCs w:val="21"/>
              </w:rPr>
              <w:t xml:space="preserve">in various PCSK9 inhibitor trials </w:t>
            </w:r>
            <w:r>
              <w:rPr>
                <w:rFonts w:eastAsia="微軟正黑體"/>
                <w:sz w:val="21"/>
                <w:szCs w:val="21"/>
              </w:rPr>
              <w:t>that help</w:t>
            </w:r>
            <w:r w:rsidR="00652087">
              <w:rPr>
                <w:rFonts w:eastAsia="微軟正黑體"/>
                <w:sz w:val="21"/>
                <w:szCs w:val="21"/>
              </w:rPr>
              <w:t>ed</w:t>
            </w:r>
            <w:r>
              <w:rPr>
                <w:rFonts w:eastAsia="微軟正黑體"/>
                <w:sz w:val="21"/>
                <w:szCs w:val="21"/>
              </w:rPr>
              <w:t xml:space="preserve"> to identify several high-risk subgroups</w:t>
            </w:r>
            <w:r w:rsidR="00C62692">
              <w:rPr>
                <w:rFonts w:eastAsia="微軟正黑體"/>
                <w:sz w:val="21"/>
                <w:szCs w:val="21"/>
              </w:rPr>
              <w:t>, such of MI &amp; stroke</w:t>
            </w:r>
            <w:r>
              <w:rPr>
                <w:rFonts w:eastAsia="微軟正黑體"/>
                <w:sz w:val="21"/>
                <w:szCs w:val="21"/>
              </w:rPr>
              <w:t>.</w:t>
            </w:r>
            <w:r w:rsidR="00CE266F">
              <w:rPr>
                <w:rFonts w:eastAsia="微軟正黑體"/>
                <w:sz w:val="21"/>
                <w:szCs w:val="21"/>
              </w:rPr>
              <w:t xml:space="preserve"> </w:t>
            </w:r>
            <w:r w:rsidR="00946165">
              <w:rPr>
                <w:rFonts w:eastAsia="微軟正黑體"/>
                <w:sz w:val="21"/>
                <w:szCs w:val="21"/>
              </w:rPr>
              <w:t>T</w:t>
            </w:r>
            <w:r w:rsidR="001575FD" w:rsidRPr="0090040B">
              <w:rPr>
                <w:rFonts w:eastAsia="微軟正黑體"/>
                <w:sz w:val="21"/>
                <w:szCs w:val="21"/>
              </w:rPr>
              <w:t>he</w:t>
            </w:r>
            <w:r w:rsidR="00C62692">
              <w:rPr>
                <w:rFonts w:eastAsia="微軟正黑體"/>
                <w:sz w:val="21"/>
                <w:szCs w:val="21"/>
              </w:rPr>
              <w:t xml:space="preserve"> impact of</w:t>
            </w:r>
            <w:r w:rsidR="001575FD" w:rsidRPr="0090040B">
              <w:rPr>
                <w:rFonts w:eastAsia="微軟正黑體"/>
                <w:sz w:val="21"/>
                <w:szCs w:val="21"/>
              </w:rPr>
              <w:t xml:space="preserve"> </w:t>
            </w:r>
            <w:r w:rsidR="00946165" w:rsidRPr="0090040B">
              <w:rPr>
                <w:rFonts w:eastAsia="微軟正黑體"/>
                <w:sz w:val="21"/>
                <w:szCs w:val="21"/>
              </w:rPr>
              <w:t>timing</w:t>
            </w:r>
            <w:r w:rsidR="00946165">
              <w:rPr>
                <w:rFonts w:eastAsia="微軟正黑體"/>
                <w:sz w:val="21"/>
                <w:szCs w:val="21"/>
              </w:rPr>
              <w:t xml:space="preserve"> </w:t>
            </w:r>
            <w:r w:rsidR="001145B0">
              <w:rPr>
                <w:rFonts w:eastAsia="微軟正黑體"/>
                <w:sz w:val="21"/>
                <w:szCs w:val="21"/>
              </w:rPr>
              <w:t xml:space="preserve">of </w:t>
            </w:r>
            <w:r w:rsidR="00CE266F">
              <w:rPr>
                <w:rFonts w:eastAsia="微軟正黑體"/>
                <w:sz w:val="21"/>
                <w:szCs w:val="21"/>
              </w:rPr>
              <w:t>PCSK9 inhibitor</w:t>
            </w:r>
            <w:r w:rsidR="00C62692">
              <w:rPr>
                <w:rFonts w:eastAsia="微軟正黑體"/>
                <w:sz w:val="21"/>
                <w:szCs w:val="21"/>
              </w:rPr>
              <w:t xml:space="preserve"> initiation</w:t>
            </w:r>
            <w:r w:rsidR="00946165">
              <w:rPr>
                <w:rFonts w:eastAsia="微軟正黑體"/>
                <w:sz w:val="21"/>
                <w:szCs w:val="21"/>
              </w:rPr>
              <w:t xml:space="preserve"> </w:t>
            </w:r>
            <w:r w:rsidR="00C62692">
              <w:rPr>
                <w:rFonts w:eastAsia="微軟正黑體"/>
                <w:sz w:val="21"/>
                <w:szCs w:val="21"/>
              </w:rPr>
              <w:t xml:space="preserve">on CV outcomes </w:t>
            </w:r>
            <w:r w:rsidR="001145B0">
              <w:rPr>
                <w:rFonts w:eastAsia="微軟正黑體"/>
                <w:sz w:val="21"/>
                <w:szCs w:val="21"/>
              </w:rPr>
              <w:t>will</w:t>
            </w:r>
            <w:r w:rsidR="00C62692">
              <w:rPr>
                <w:rFonts w:eastAsia="微軟正黑體"/>
                <w:sz w:val="21"/>
                <w:szCs w:val="21"/>
              </w:rPr>
              <w:t xml:space="preserve"> also</w:t>
            </w:r>
            <w:r w:rsidR="001145B0">
              <w:rPr>
                <w:rFonts w:eastAsia="微軟正黑體"/>
                <w:sz w:val="21"/>
                <w:szCs w:val="21"/>
              </w:rPr>
              <w:t xml:space="preserve"> be reviewed</w:t>
            </w:r>
            <w:r w:rsidR="00CE266F">
              <w:rPr>
                <w:rFonts w:eastAsia="微軟正黑體"/>
                <w:sz w:val="21"/>
                <w:szCs w:val="21"/>
              </w:rPr>
              <w:t xml:space="preserve">. Finally, Dr. Chiu will share his clinical experience with PCSK9 inhibitor in </w:t>
            </w:r>
            <w:r w:rsidR="00C542FC">
              <w:rPr>
                <w:rFonts w:eastAsia="微軟正黑體"/>
                <w:sz w:val="21"/>
                <w:szCs w:val="21"/>
              </w:rPr>
              <w:t xml:space="preserve">management of </w:t>
            </w:r>
            <w:r w:rsidR="00CE266F">
              <w:rPr>
                <w:rFonts w:eastAsia="微軟正黑體"/>
                <w:sz w:val="21"/>
                <w:szCs w:val="21"/>
              </w:rPr>
              <w:t xml:space="preserve">high-risk subgroups that are aligned with </w:t>
            </w:r>
            <w:r w:rsidR="001145B0">
              <w:rPr>
                <w:rFonts w:eastAsia="微軟正黑體"/>
                <w:sz w:val="21"/>
                <w:szCs w:val="21"/>
              </w:rPr>
              <w:t xml:space="preserve">the </w:t>
            </w:r>
            <w:r w:rsidR="00CE266F">
              <w:rPr>
                <w:rFonts w:eastAsia="微軟正黑體"/>
                <w:sz w:val="21"/>
                <w:szCs w:val="21"/>
              </w:rPr>
              <w:t xml:space="preserve">latest lipid management guidelines. </w:t>
            </w:r>
          </w:p>
          <w:p w14:paraId="27BAA5C6" w14:textId="39B61362" w:rsidR="00CF4453" w:rsidRPr="0090040B" w:rsidRDefault="00CF4453" w:rsidP="00CE266F">
            <w:pPr>
              <w:ind w:firstLineChars="153" w:firstLine="321"/>
              <w:rPr>
                <w:rFonts w:eastAsia="微軟正黑體"/>
                <w:sz w:val="21"/>
                <w:szCs w:val="21"/>
              </w:rPr>
            </w:pPr>
          </w:p>
        </w:tc>
      </w:tr>
    </w:tbl>
    <w:p w14:paraId="0CEFF512" w14:textId="6A01963C" w:rsidR="00CF4453" w:rsidRPr="0090040B" w:rsidRDefault="00CF4453">
      <w:pPr>
        <w:rPr>
          <w:sz w:val="21"/>
          <w:szCs w:val="21"/>
        </w:rPr>
      </w:pPr>
      <w:r w:rsidRPr="0090040B">
        <w:rPr>
          <w:sz w:val="21"/>
          <w:szCs w:val="21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3198"/>
      </w:tblGrid>
      <w:tr w:rsidR="005075BC" w:rsidRPr="0090040B" w14:paraId="1E38F7FA" w14:textId="77777777" w:rsidTr="007B0F38">
        <w:tc>
          <w:tcPr>
            <w:tcW w:w="1129" w:type="dxa"/>
          </w:tcPr>
          <w:p w14:paraId="4B330675" w14:textId="77777777" w:rsidR="005075BC" w:rsidRPr="0090040B" w:rsidRDefault="005075BC" w:rsidP="007B0F38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lastRenderedPageBreak/>
              <w:t>日期</w:t>
            </w:r>
          </w:p>
        </w:tc>
        <w:tc>
          <w:tcPr>
            <w:tcW w:w="2835" w:type="dxa"/>
          </w:tcPr>
          <w:p w14:paraId="7F8B888C" w14:textId="77777777" w:rsidR="005075BC" w:rsidRPr="0090040B" w:rsidRDefault="005075BC" w:rsidP="007B0F38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2021/10/30</w:t>
            </w:r>
          </w:p>
        </w:tc>
        <w:tc>
          <w:tcPr>
            <w:tcW w:w="1134" w:type="dxa"/>
          </w:tcPr>
          <w:p w14:paraId="27025F18" w14:textId="77777777" w:rsidR="005075BC" w:rsidRPr="0090040B" w:rsidRDefault="005075BC" w:rsidP="007B0F38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時間</w:t>
            </w:r>
          </w:p>
        </w:tc>
        <w:tc>
          <w:tcPr>
            <w:tcW w:w="3198" w:type="dxa"/>
          </w:tcPr>
          <w:p w14:paraId="2106D57E" w14:textId="3F9BC4EC" w:rsidR="005075BC" w:rsidRPr="0090040B" w:rsidRDefault="005075BC" w:rsidP="007B0F38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15:45-16:25</w:t>
            </w:r>
          </w:p>
        </w:tc>
      </w:tr>
      <w:tr w:rsidR="005075BC" w:rsidRPr="0090040B" w14:paraId="263C980B" w14:textId="77777777" w:rsidTr="007B0F38">
        <w:tc>
          <w:tcPr>
            <w:tcW w:w="1129" w:type="dxa"/>
          </w:tcPr>
          <w:p w14:paraId="0A8DE3F3" w14:textId="77777777" w:rsidR="005075BC" w:rsidRPr="0090040B" w:rsidRDefault="005075BC" w:rsidP="007B0F38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講者</w:t>
            </w:r>
          </w:p>
        </w:tc>
        <w:tc>
          <w:tcPr>
            <w:tcW w:w="7167" w:type="dxa"/>
            <w:gridSpan w:val="3"/>
          </w:tcPr>
          <w:p w14:paraId="006EA89D" w14:textId="699B54BE" w:rsidR="005075BC" w:rsidRPr="0090040B" w:rsidRDefault="005075BC" w:rsidP="007B0F38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劉維新醫師</w:t>
            </w:r>
          </w:p>
          <w:p w14:paraId="1D51166B" w14:textId="77777777" w:rsidR="005075BC" w:rsidRPr="0090040B" w:rsidRDefault="005075BC" w:rsidP="007B0F38">
            <w:pPr>
              <w:pStyle w:val="a8"/>
              <w:numPr>
                <w:ilvl w:val="0"/>
                <w:numId w:val="8"/>
              </w:numPr>
              <w:ind w:leftChars="0"/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佛教慈濟醫療財團法人花蓮慈濟醫院心臟內科心功能檢查室主任</w:t>
            </w:r>
          </w:p>
          <w:p w14:paraId="4D9EFC9B" w14:textId="7FAA7C15" w:rsidR="005075BC" w:rsidRPr="0090040B" w:rsidRDefault="005075BC" w:rsidP="005075BC">
            <w:pPr>
              <w:pStyle w:val="a8"/>
              <w:numPr>
                <w:ilvl w:val="0"/>
                <w:numId w:val="8"/>
              </w:numPr>
              <w:ind w:leftChars="0"/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佛教慈濟醫療財團法人花蓮慈濟醫院心臟內科主治醫師</w:t>
            </w:r>
          </w:p>
          <w:p w14:paraId="70A55017" w14:textId="1BE91A2B" w:rsidR="005075BC" w:rsidRPr="0090040B" w:rsidRDefault="005075BC" w:rsidP="007B0F38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noProof/>
                <w:sz w:val="21"/>
                <w:szCs w:val="21"/>
              </w:rPr>
              <w:drawing>
                <wp:inline distT="0" distB="0" distL="0" distR="0" wp14:anchorId="589DB691" wp14:editId="07EDD424">
                  <wp:extent cx="1026671" cy="1302589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47" cy="13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4D943B" w14:textId="4A671BE0" w:rsidR="005075BC" w:rsidRPr="0090040B" w:rsidRDefault="005075BC" w:rsidP="007B0F38">
            <w:pPr>
              <w:rPr>
                <w:rFonts w:eastAsia="微軟正黑體"/>
                <w:sz w:val="21"/>
                <w:szCs w:val="21"/>
              </w:rPr>
            </w:pPr>
          </w:p>
        </w:tc>
      </w:tr>
      <w:tr w:rsidR="005075BC" w:rsidRPr="0090040B" w14:paraId="3BFD9420" w14:textId="77777777" w:rsidTr="007B0F38">
        <w:tc>
          <w:tcPr>
            <w:tcW w:w="1129" w:type="dxa"/>
          </w:tcPr>
          <w:p w14:paraId="7DA19417" w14:textId="77777777" w:rsidR="005075BC" w:rsidRPr="0090040B" w:rsidRDefault="005075BC" w:rsidP="007B0F38">
            <w:pPr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主題</w:t>
            </w:r>
          </w:p>
        </w:tc>
        <w:tc>
          <w:tcPr>
            <w:tcW w:w="7167" w:type="dxa"/>
            <w:gridSpan w:val="3"/>
          </w:tcPr>
          <w:p w14:paraId="3ABB3C1A" w14:textId="224A0A80" w:rsidR="005075BC" w:rsidRPr="0090040B" w:rsidRDefault="005B5B5D" w:rsidP="007B0F38">
            <w:pPr>
              <w:rPr>
                <w:rFonts w:eastAsia="微軟正黑體"/>
                <w:b/>
                <w:bCs/>
                <w:sz w:val="21"/>
                <w:szCs w:val="21"/>
              </w:rPr>
            </w:pPr>
            <w:r w:rsidRPr="0090040B">
              <w:rPr>
                <w:rFonts w:eastAsia="微軟正黑體"/>
                <w:b/>
                <w:bCs/>
                <w:sz w:val="21"/>
                <w:szCs w:val="21"/>
              </w:rPr>
              <w:t>Intensive lipid lowering in hypercholesterolemia: what we have learned from patients</w:t>
            </w:r>
          </w:p>
        </w:tc>
      </w:tr>
      <w:tr w:rsidR="005075BC" w:rsidRPr="0090040B" w14:paraId="5549F3F4" w14:textId="77777777" w:rsidTr="007B0F38">
        <w:tc>
          <w:tcPr>
            <w:tcW w:w="8296" w:type="dxa"/>
            <w:gridSpan w:val="4"/>
          </w:tcPr>
          <w:p w14:paraId="0A2871EF" w14:textId="77777777" w:rsidR="005075BC" w:rsidRPr="0090040B" w:rsidRDefault="005075BC" w:rsidP="007B0F38">
            <w:pPr>
              <w:snapToGrid w:val="0"/>
              <w:rPr>
                <w:rFonts w:eastAsia="微軟正黑體"/>
                <w:sz w:val="21"/>
                <w:szCs w:val="21"/>
              </w:rPr>
            </w:pPr>
            <w:r w:rsidRPr="0090040B">
              <w:rPr>
                <w:rFonts w:eastAsia="微軟正黑體"/>
                <w:sz w:val="21"/>
                <w:szCs w:val="21"/>
              </w:rPr>
              <w:t>摘要</w:t>
            </w:r>
          </w:p>
          <w:p w14:paraId="65271169" w14:textId="38787B12" w:rsidR="005075BC" w:rsidRDefault="00924FD9" w:rsidP="00FA04BC">
            <w:pPr>
              <w:ind w:firstLineChars="153" w:firstLine="321"/>
              <w:rPr>
                <w:rFonts w:eastAsia="微軟正黑體"/>
                <w:sz w:val="21"/>
                <w:szCs w:val="21"/>
              </w:rPr>
            </w:pPr>
            <w:r>
              <w:rPr>
                <w:rFonts w:eastAsia="微軟正黑體"/>
                <w:sz w:val="21"/>
                <w:szCs w:val="21"/>
              </w:rPr>
              <w:t xml:space="preserve">The </w:t>
            </w:r>
            <w:r w:rsidR="00C7379C">
              <w:rPr>
                <w:rFonts w:eastAsia="微軟正黑體"/>
                <w:sz w:val="21"/>
                <w:szCs w:val="21"/>
              </w:rPr>
              <w:t>benefit of</w:t>
            </w:r>
            <w:r w:rsidR="003B6E7F">
              <w:rPr>
                <w:rFonts w:eastAsia="微軟正黑體"/>
                <w:sz w:val="21"/>
                <w:szCs w:val="21"/>
              </w:rPr>
              <w:t xml:space="preserve"> intensive lipid lowering</w:t>
            </w:r>
            <w:r w:rsidR="00946165">
              <w:rPr>
                <w:rFonts w:eastAsia="微軟正黑體"/>
                <w:sz w:val="21"/>
                <w:szCs w:val="21"/>
              </w:rPr>
              <w:t xml:space="preserve"> therapies</w:t>
            </w:r>
            <w:r w:rsidR="00C7379C">
              <w:rPr>
                <w:rFonts w:eastAsia="微軟正黑體"/>
                <w:sz w:val="21"/>
                <w:szCs w:val="21"/>
              </w:rPr>
              <w:t xml:space="preserve"> in</w:t>
            </w:r>
            <w:r w:rsidR="00946165">
              <w:rPr>
                <w:rFonts w:eastAsia="微軟正黑體"/>
                <w:sz w:val="21"/>
                <w:szCs w:val="21"/>
              </w:rPr>
              <w:t xml:space="preserve"> </w:t>
            </w:r>
            <w:r w:rsidR="00FA04BC">
              <w:rPr>
                <w:rFonts w:eastAsia="微軟正黑體"/>
                <w:sz w:val="21"/>
                <w:szCs w:val="21"/>
              </w:rPr>
              <w:t xml:space="preserve">high-risk </w:t>
            </w:r>
            <w:r w:rsidR="00946165">
              <w:rPr>
                <w:rFonts w:eastAsia="微軟正黑體"/>
                <w:sz w:val="21"/>
                <w:szCs w:val="21"/>
              </w:rPr>
              <w:t xml:space="preserve">patients </w:t>
            </w:r>
            <w:r w:rsidR="00C7379C">
              <w:rPr>
                <w:rFonts w:eastAsia="微軟正黑體"/>
                <w:sz w:val="21"/>
                <w:szCs w:val="21"/>
              </w:rPr>
              <w:t>with hypercholesterolemia</w:t>
            </w:r>
            <w:r>
              <w:rPr>
                <w:rFonts w:eastAsia="微軟正黑體"/>
                <w:sz w:val="21"/>
                <w:szCs w:val="21"/>
              </w:rPr>
              <w:t xml:space="preserve"> is </w:t>
            </w:r>
            <w:r w:rsidR="003B6E7F">
              <w:rPr>
                <w:rFonts w:eastAsia="微軟正黑體"/>
                <w:sz w:val="21"/>
                <w:szCs w:val="21"/>
              </w:rPr>
              <w:t>evident</w:t>
            </w:r>
            <w:r w:rsidR="00946165">
              <w:rPr>
                <w:rFonts w:eastAsia="微軟正黑體"/>
                <w:sz w:val="21"/>
                <w:szCs w:val="21"/>
              </w:rPr>
              <w:t xml:space="preserve">. </w:t>
            </w:r>
            <w:r w:rsidR="003B6E7F">
              <w:rPr>
                <w:rFonts w:eastAsia="微軟正黑體"/>
                <w:sz w:val="21"/>
                <w:szCs w:val="21"/>
              </w:rPr>
              <w:t xml:space="preserve">Despite generally good tolerability, these agents may cause </w:t>
            </w:r>
            <w:r w:rsidR="00C542FC">
              <w:rPr>
                <w:rFonts w:eastAsia="微軟正黑體"/>
                <w:sz w:val="21"/>
                <w:szCs w:val="21"/>
              </w:rPr>
              <w:t xml:space="preserve">allergy or intolerance </w:t>
            </w:r>
            <w:proofErr w:type="gramStart"/>
            <w:r w:rsidR="00C542FC">
              <w:rPr>
                <w:rFonts w:eastAsia="微軟正黑體"/>
                <w:sz w:val="21"/>
                <w:szCs w:val="21"/>
              </w:rPr>
              <w:t>in</w:t>
            </w:r>
            <w:proofErr w:type="gramEnd"/>
            <w:r w:rsidR="00C542FC">
              <w:rPr>
                <w:rFonts w:eastAsia="微軟正黑體"/>
                <w:sz w:val="21"/>
                <w:szCs w:val="21"/>
              </w:rPr>
              <w:t xml:space="preserve"> some occasions </w:t>
            </w:r>
            <w:r w:rsidR="003B6E7F">
              <w:rPr>
                <w:rFonts w:eastAsia="微軟正黑體"/>
                <w:sz w:val="21"/>
                <w:szCs w:val="21"/>
              </w:rPr>
              <w:t xml:space="preserve">which limit their optimized use. Besides, sometimes these safety signals may be </w:t>
            </w:r>
            <w:r w:rsidR="00C542FC">
              <w:rPr>
                <w:rFonts w:eastAsia="微軟正黑體"/>
                <w:sz w:val="21"/>
                <w:szCs w:val="21"/>
              </w:rPr>
              <w:t xml:space="preserve">easily </w:t>
            </w:r>
            <w:r w:rsidR="003B6E7F">
              <w:rPr>
                <w:rFonts w:eastAsia="微軟正黑體"/>
                <w:sz w:val="21"/>
                <w:szCs w:val="21"/>
              </w:rPr>
              <w:t xml:space="preserve">missed unless careful inquiry and examination </w:t>
            </w:r>
            <w:r w:rsidR="00C542FC">
              <w:rPr>
                <w:rFonts w:eastAsia="微軟正黑體"/>
                <w:sz w:val="21"/>
                <w:szCs w:val="21"/>
              </w:rPr>
              <w:t>are</w:t>
            </w:r>
            <w:r w:rsidR="003B6E7F">
              <w:rPr>
                <w:rFonts w:eastAsia="微軟正黑體"/>
                <w:sz w:val="21"/>
                <w:szCs w:val="21"/>
              </w:rPr>
              <w:t xml:space="preserve"> performed. </w:t>
            </w:r>
          </w:p>
          <w:p w14:paraId="4DDC98E7" w14:textId="77777777" w:rsidR="003B6E7F" w:rsidRPr="003B6E7F" w:rsidRDefault="003B6E7F" w:rsidP="00FA04BC">
            <w:pPr>
              <w:ind w:firstLineChars="153" w:firstLine="321"/>
              <w:rPr>
                <w:rFonts w:eastAsia="微軟正黑體"/>
                <w:sz w:val="21"/>
                <w:szCs w:val="21"/>
              </w:rPr>
            </w:pPr>
          </w:p>
          <w:p w14:paraId="53063531" w14:textId="336206E6" w:rsidR="003B6E7F" w:rsidRDefault="00484EA1" w:rsidP="00FA04BC">
            <w:pPr>
              <w:ind w:firstLineChars="153" w:firstLine="321"/>
              <w:rPr>
                <w:rFonts w:eastAsia="微軟正黑體"/>
                <w:sz w:val="21"/>
                <w:szCs w:val="21"/>
              </w:rPr>
            </w:pPr>
            <w:r>
              <w:rPr>
                <w:rFonts w:eastAsia="微軟正黑體"/>
                <w:sz w:val="21"/>
                <w:szCs w:val="21"/>
              </w:rPr>
              <w:t xml:space="preserve">In this </w:t>
            </w:r>
            <w:r w:rsidR="00C542FC">
              <w:rPr>
                <w:rFonts w:eastAsia="微軟正黑體"/>
                <w:sz w:val="21"/>
                <w:szCs w:val="21"/>
              </w:rPr>
              <w:t xml:space="preserve">educational </w:t>
            </w:r>
            <w:r>
              <w:rPr>
                <w:rFonts w:eastAsia="微軟正黑體"/>
                <w:sz w:val="21"/>
                <w:szCs w:val="21"/>
              </w:rPr>
              <w:t xml:space="preserve">session, </w:t>
            </w:r>
            <w:r w:rsidR="003B6E7F">
              <w:rPr>
                <w:rFonts w:eastAsia="微軟正黑體" w:hint="eastAsia"/>
                <w:sz w:val="21"/>
                <w:szCs w:val="21"/>
              </w:rPr>
              <w:t>D</w:t>
            </w:r>
            <w:r w:rsidR="003B6E7F">
              <w:rPr>
                <w:rFonts w:eastAsia="微軟正黑體"/>
                <w:sz w:val="21"/>
                <w:szCs w:val="21"/>
              </w:rPr>
              <w:t>r. Liu</w:t>
            </w:r>
            <w:r>
              <w:rPr>
                <w:rFonts w:eastAsia="微軟正黑體"/>
                <w:sz w:val="21"/>
                <w:szCs w:val="21"/>
              </w:rPr>
              <w:t xml:space="preserve"> will present limitations of </w:t>
            </w:r>
            <w:r w:rsidR="00C542FC">
              <w:rPr>
                <w:rFonts w:eastAsia="微軟正黑體"/>
                <w:sz w:val="21"/>
                <w:szCs w:val="21"/>
              </w:rPr>
              <w:t>available</w:t>
            </w:r>
            <w:r>
              <w:rPr>
                <w:rFonts w:eastAsia="微軟正黑體"/>
                <w:sz w:val="21"/>
                <w:szCs w:val="21"/>
              </w:rPr>
              <w:t xml:space="preserve"> lipid lowering medication options based on clinical evidence, with safety and long-term efficacy highlighted. Dr. Liu will also share stories of patients with statin intolerance or with limited statin response</w:t>
            </w:r>
            <w:r w:rsidR="00FA6687">
              <w:rPr>
                <w:rFonts w:eastAsia="微軟正黑體"/>
                <w:sz w:val="21"/>
                <w:szCs w:val="21"/>
              </w:rPr>
              <w:t xml:space="preserve">, and how </w:t>
            </w:r>
            <w:r w:rsidR="00C542FC">
              <w:rPr>
                <w:rFonts w:eastAsia="微軟正黑體"/>
                <w:sz w:val="21"/>
                <w:szCs w:val="21"/>
              </w:rPr>
              <w:t xml:space="preserve">switching to </w:t>
            </w:r>
            <w:r w:rsidR="00FA6687">
              <w:rPr>
                <w:rFonts w:eastAsia="微軟正黑體"/>
                <w:sz w:val="21"/>
                <w:szCs w:val="21"/>
              </w:rPr>
              <w:t xml:space="preserve">alternative lipid-lowering </w:t>
            </w:r>
            <w:r w:rsidR="00C542FC">
              <w:rPr>
                <w:rFonts w:eastAsia="微軟正黑體"/>
                <w:sz w:val="21"/>
                <w:szCs w:val="21"/>
              </w:rPr>
              <w:t>therapy</w:t>
            </w:r>
            <w:r w:rsidR="00FA6687">
              <w:rPr>
                <w:rFonts w:eastAsia="微軟正黑體"/>
                <w:sz w:val="21"/>
                <w:szCs w:val="21"/>
              </w:rPr>
              <w:t xml:space="preserve"> help</w:t>
            </w:r>
            <w:r w:rsidR="00C542FC">
              <w:rPr>
                <w:rFonts w:eastAsia="微軟正黑體"/>
                <w:sz w:val="21"/>
                <w:szCs w:val="21"/>
              </w:rPr>
              <w:t>ed</w:t>
            </w:r>
            <w:r w:rsidR="00FA6687">
              <w:rPr>
                <w:rFonts w:eastAsia="微軟正黑體"/>
                <w:sz w:val="21"/>
                <w:szCs w:val="21"/>
              </w:rPr>
              <w:t xml:space="preserve"> to achieve their </w:t>
            </w:r>
            <w:r w:rsidR="00C542FC">
              <w:rPr>
                <w:rFonts w:eastAsia="微軟正黑體"/>
                <w:sz w:val="21"/>
                <w:szCs w:val="21"/>
              </w:rPr>
              <w:t>optimized</w:t>
            </w:r>
            <w:r w:rsidR="00FA6687">
              <w:rPr>
                <w:rFonts w:eastAsia="微軟正黑體"/>
                <w:sz w:val="21"/>
                <w:szCs w:val="21"/>
              </w:rPr>
              <w:t xml:space="preserve"> LDC-C goals</w:t>
            </w:r>
            <w:r w:rsidR="00B5517F">
              <w:rPr>
                <w:rFonts w:eastAsia="微軟正黑體"/>
                <w:sz w:val="21"/>
                <w:szCs w:val="21"/>
              </w:rPr>
              <w:t xml:space="preserve"> without compromising on safety</w:t>
            </w:r>
            <w:r w:rsidR="00FA6687">
              <w:rPr>
                <w:rFonts w:eastAsia="微軟正黑體"/>
                <w:sz w:val="21"/>
                <w:szCs w:val="21"/>
              </w:rPr>
              <w:t xml:space="preserve">. </w:t>
            </w:r>
          </w:p>
          <w:p w14:paraId="4CA79D4A" w14:textId="09FCDCBE" w:rsidR="003B6E7F" w:rsidRPr="0090040B" w:rsidRDefault="003B6E7F" w:rsidP="00FA04BC">
            <w:pPr>
              <w:ind w:firstLineChars="153" w:firstLine="321"/>
              <w:rPr>
                <w:rFonts w:eastAsia="微軟正黑體"/>
                <w:sz w:val="21"/>
                <w:szCs w:val="21"/>
              </w:rPr>
            </w:pPr>
          </w:p>
        </w:tc>
      </w:tr>
    </w:tbl>
    <w:p w14:paraId="59ED7C26" w14:textId="77777777" w:rsidR="004D7356" w:rsidRPr="0090040B" w:rsidRDefault="004D7356">
      <w:pPr>
        <w:rPr>
          <w:sz w:val="21"/>
          <w:szCs w:val="21"/>
        </w:rPr>
      </w:pPr>
    </w:p>
    <w:sectPr w:rsidR="004D7356" w:rsidRPr="0090040B" w:rsidSect="006A78DC">
      <w:pgSz w:w="11906" w:h="16838" w:code="9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96E5" w14:textId="77777777" w:rsidR="00140020" w:rsidRDefault="00140020" w:rsidP="00433CC5">
      <w:r>
        <w:separator/>
      </w:r>
    </w:p>
  </w:endnote>
  <w:endnote w:type="continuationSeparator" w:id="0">
    <w:p w14:paraId="0E1B688C" w14:textId="77777777" w:rsidR="00140020" w:rsidRDefault="00140020" w:rsidP="0043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2EC8" w14:textId="77777777" w:rsidR="00140020" w:rsidRDefault="00140020" w:rsidP="00433CC5">
      <w:r>
        <w:separator/>
      </w:r>
    </w:p>
  </w:footnote>
  <w:footnote w:type="continuationSeparator" w:id="0">
    <w:p w14:paraId="716CDD2E" w14:textId="77777777" w:rsidR="00140020" w:rsidRDefault="00140020" w:rsidP="0043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98E"/>
    <w:multiLevelType w:val="hybridMultilevel"/>
    <w:tmpl w:val="9252F60A"/>
    <w:lvl w:ilvl="0" w:tplc="3E1642DE"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BC69C7"/>
    <w:multiLevelType w:val="hybridMultilevel"/>
    <w:tmpl w:val="26725ADA"/>
    <w:lvl w:ilvl="0" w:tplc="98162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903BC1"/>
    <w:multiLevelType w:val="hybridMultilevel"/>
    <w:tmpl w:val="26725ADA"/>
    <w:lvl w:ilvl="0" w:tplc="98162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E41575"/>
    <w:multiLevelType w:val="hybridMultilevel"/>
    <w:tmpl w:val="FF981356"/>
    <w:lvl w:ilvl="0" w:tplc="56E06A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CA700B"/>
    <w:multiLevelType w:val="hybridMultilevel"/>
    <w:tmpl w:val="76C0404E"/>
    <w:lvl w:ilvl="0" w:tplc="F0BE4F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0648AA"/>
    <w:multiLevelType w:val="hybridMultilevel"/>
    <w:tmpl w:val="C016B1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BC6D62"/>
    <w:multiLevelType w:val="hybridMultilevel"/>
    <w:tmpl w:val="91AC1294"/>
    <w:lvl w:ilvl="0" w:tplc="564AA8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AA1209"/>
    <w:multiLevelType w:val="hybridMultilevel"/>
    <w:tmpl w:val="2AF0C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6D"/>
    <w:rsid w:val="00041C7F"/>
    <w:rsid w:val="00055767"/>
    <w:rsid w:val="000727B2"/>
    <w:rsid w:val="000A6123"/>
    <w:rsid w:val="000B62AC"/>
    <w:rsid w:val="000D3AB7"/>
    <w:rsid w:val="000D4EA5"/>
    <w:rsid w:val="00107534"/>
    <w:rsid w:val="00114129"/>
    <w:rsid w:val="001145B0"/>
    <w:rsid w:val="00122F42"/>
    <w:rsid w:val="00123CD5"/>
    <w:rsid w:val="00130545"/>
    <w:rsid w:val="00140020"/>
    <w:rsid w:val="0014488A"/>
    <w:rsid w:val="001575FD"/>
    <w:rsid w:val="001757E7"/>
    <w:rsid w:val="00183E49"/>
    <w:rsid w:val="001850CF"/>
    <w:rsid w:val="001864A8"/>
    <w:rsid w:val="001F0D1C"/>
    <w:rsid w:val="001F14E9"/>
    <w:rsid w:val="00214B6C"/>
    <w:rsid w:val="0024219A"/>
    <w:rsid w:val="00244E04"/>
    <w:rsid w:val="002862CB"/>
    <w:rsid w:val="00296F74"/>
    <w:rsid w:val="002A6A9F"/>
    <w:rsid w:val="00306C83"/>
    <w:rsid w:val="00311C0B"/>
    <w:rsid w:val="00312369"/>
    <w:rsid w:val="00317331"/>
    <w:rsid w:val="00320DBF"/>
    <w:rsid w:val="00322BF0"/>
    <w:rsid w:val="00350E84"/>
    <w:rsid w:val="00373B94"/>
    <w:rsid w:val="0039389B"/>
    <w:rsid w:val="003A03E4"/>
    <w:rsid w:val="003B6E7F"/>
    <w:rsid w:val="00420A82"/>
    <w:rsid w:val="00433CC5"/>
    <w:rsid w:val="00475DEE"/>
    <w:rsid w:val="00484A32"/>
    <w:rsid w:val="00484EA1"/>
    <w:rsid w:val="004B0E2E"/>
    <w:rsid w:val="004B4F60"/>
    <w:rsid w:val="004C20DD"/>
    <w:rsid w:val="004D33F9"/>
    <w:rsid w:val="004D7356"/>
    <w:rsid w:val="005075BC"/>
    <w:rsid w:val="00524DF1"/>
    <w:rsid w:val="00525568"/>
    <w:rsid w:val="00571AAD"/>
    <w:rsid w:val="00571D0C"/>
    <w:rsid w:val="005B5B5D"/>
    <w:rsid w:val="005B7CE5"/>
    <w:rsid w:val="005C7D75"/>
    <w:rsid w:val="005E4D4A"/>
    <w:rsid w:val="005F2687"/>
    <w:rsid w:val="00634658"/>
    <w:rsid w:val="00641630"/>
    <w:rsid w:val="00650396"/>
    <w:rsid w:val="0065090A"/>
    <w:rsid w:val="00652087"/>
    <w:rsid w:val="00677F16"/>
    <w:rsid w:val="0068315B"/>
    <w:rsid w:val="00685A1A"/>
    <w:rsid w:val="006A5E61"/>
    <w:rsid w:val="006A71F1"/>
    <w:rsid w:val="006A78DC"/>
    <w:rsid w:val="006C75CC"/>
    <w:rsid w:val="006F6933"/>
    <w:rsid w:val="007275E0"/>
    <w:rsid w:val="007619C3"/>
    <w:rsid w:val="007665CF"/>
    <w:rsid w:val="007853A5"/>
    <w:rsid w:val="007921B3"/>
    <w:rsid w:val="007976E8"/>
    <w:rsid w:val="007C1A7C"/>
    <w:rsid w:val="007E0F54"/>
    <w:rsid w:val="008333E8"/>
    <w:rsid w:val="0084707C"/>
    <w:rsid w:val="00884F24"/>
    <w:rsid w:val="008F3D30"/>
    <w:rsid w:val="0090040B"/>
    <w:rsid w:val="00920DBD"/>
    <w:rsid w:val="00924FD9"/>
    <w:rsid w:val="00932649"/>
    <w:rsid w:val="009417F3"/>
    <w:rsid w:val="00946165"/>
    <w:rsid w:val="0094771F"/>
    <w:rsid w:val="009560D9"/>
    <w:rsid w:val="009762B2"/>
    <w:rsid w:val="009779DD"/>
    <w:rsid w:val="009A1C09"/>
    <w:rsid w:val="009A2325"/>
    <w:rsid w:val="009B0F2C"/>
    <w:rsid w:val="009B74FC"/>
    <w:rsid w:val="009D24E7"/>
    <w:rsid w:val="009F126D"/>
    <w:rsid w:val="009F177F"/>
    <w:rsid w:val="009F3F7F"/>
    <w:rsid w:val="00A25CCB"/>
    <w:rsid w:val="00A56EF6"/>
    <w:rsid w:val="00A807F3"/>
    <w:rsid w:val="00AA1022"/>
    <w:rsid w:val="00AC0D88"/>
    <w:rsid w:val="00AE5FEC"/>
    <w:rsid w:val="00B0276A"/>
    <w:rsid w:val="00B23184"/>
    <w:rsid w:val="00B27951"/>
    <w:rsid w:val="00B5517F"/>
    <w:rsid w:val="00B65778"/>
    <w:rsid w:val="00B81A8C"/>
    <w:rsid w:val="00B96268"/>
    <w:rsid w:val="00BA472D"/>
    <w:rsid w:val="00BB257A"/>
    <w:rsid w:val="00BB4DA6"/>
    <w:rsid w:val="00BD505E"/>
    <w:rsid w:val="00BE28BD"/>
    <w:rsid w:val="00BF06D1"/>
    <w:rsid w:val="00C018DA"/>
    <w:rsid w:val="00C20216"/>
    <w:rsid w:val="00C47458"/>
    <w:rsid w:val="00C52C7D"/>
    <w:rsid w:val="00C542FC"/>
    <w:rsid w:val="00C605FE"/>
    <w:rsid w:val="00C62692"/>
    <w:rsid w:val="00C7379C"/>
    <w:rsid w:val="00C9018B"/>
    <w:rsid w:val="00CE266F"/>
    <w:rsid w:val="00CE3A53"/>
    <w:rsid w:val="00CF4453"/>
    <w:rsid w:val="00D00FBC"/>
    <w:rsid w:val="00D12589"/>
    <w:rsid w:val="00D15B9E"/>
    <w:rsid w:val="00D26992"/>
    <w:rsid w:val="00D614C0"/>
    <w:rsid w:val="00D62C12"/>
    <w:rsid w:val="00D90312"/>
    <w:rsid w:val="00D92636"/>
    <w:rsid w:val="00DC3312"/>
    <w:rsid w:val="00DC53BA"/>
    <w:rsid w:val="00DE15C9"/>
    <w:rsid w:val="00DE317E"/>
    <w:rsid w:val="00DF1CD7"/>
    <w:rsid w:val="00DF7A8F"/>
    <w:rsid w:val="00E03E80"/>
    <w:rsid w:val="00E16C1D"/>
    <w:rsid w:val="00E21604"/>
    <w:rsid w:val="00E30E22"/>
    <w:rsid w:val="00E43EAC"/>
    <w:rsid w:val="00E61764"/>
    <w:rsid w:val="00E7339F"/>
    <w:rsid w:val="00E90C4D"/>
    <w:rsid w:val="00EA329E"/>
    <w:rsid w:val="00EF0C44"/>
    <w:rsid w:val="00F15AD7"/>
    <w:rsid w:val="00F47585"/>
    <w:rsid w:val="00F647DE"/>
    <w:rsid w:val="00FA04BC"/>
    <w:rsid w:val="00FA6687"/>
    <w:rsid w:val="00FA7D31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EC17B"/>
  <w15:chartTrackingRefBased/>
  <w15:docId w15:val="{44379B79-B7F3-41F9-9B07-CAD27249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3C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CC5"/>
    <w:rPr>
      <w:sz w:val="20"/>
      <w:szCs w:val="20"/>
    </w:rPr>
  </w:style>
  <w:style w:type="table" w:styleId="a7">
    <w:name w:val="Table Grid"/>
    <w:basedOn w:val="a1"/>
    <w:uiPriority w:val="39"/>
    <w:rsid w:val="0005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3AB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6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62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657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7349a702-6462-4442-88eb-c64cd513835c" value=""/>
</sisl>
</file>

<file path=customXml/itemProps1.xml><?xml version="1.0" encoding="utf-8"?>
<ds:datastoreItem xmlns:ds="http://schemas.openxmlformats.org/officeDocument/2006/customXml" ds:itemID="{0F3A657B-45D0-4733-A139-CB490C2BD2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Piper</dc:creator>
  <cp:keywords>*$%IU-*$%GenBus</cp:keywords>
  <dc:description/>
  <cp:lastModifiedBy>TSLA</cp:lastModifiedBy>
  <cp:revision>2</cp:revision>
  <dcterms:created xsi:type="dcterms:W3CDTF">2021-09-29T05:47:00Z</dcterms:created>
  <dcterms:modified xsi:type="dcterms:W3CDTF">2021-09-29T05:47:00Z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7d42ec0b-4334-481b-be4e-9b2e941eb236</vt:lpwstr>
  </property>
  <property fmtid="{D5CDD505-2E9C-101B-9397-08002B2CF9AE}" pid="3" name="bjSaver">
    <vt:lpwstr>RllgiaHEDnDP/6hCVuZrShpTHB21XgaV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uid="9036a7a1-5a4f-48d3-b24b-dfdab053dac9"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Internal Use Only - General Business</vt:lpwstr>
  </property>
</Properties>
</file>